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968B" w14:textId="2AFA16E9" w:rsidR="00C3131C" w:rsidRDefault="00D27A65">
      <w:pPr>
        <w:pStyle w:val="Heading1"/>
        <w:jc w:val="center"/>
        <w:rPr>
          <w:b/>
          <w:bCs/>
          <w:color w:val="1F3864" w:themeColor="accent1" w:themeShade="80"/>
          <w:u w:val="single"/>
          <w:lang w:val="en-GB"/>
        </w:rPr>
      </w:pPr>
      <w:r w:rsidRPr="00112118">
        <w:rPr>
          <w:rFonts w:ascii="Tahoma" w:hAnsi="Tahoma" w:cs="Tahoma"/>
          <w:noProof/>
          <w:lang w:val="en-US"/>
        </w:rPr>
        <w:drawing>
          <wp:inline distT="0" distB="0" distL="0" distR="0" wp14:anchorId="574DB991" wp14:editId="346ACA9D">
            <wp:extent cx="3352800" cy="1133340"/>
            <wp:effectExtent l="0" t="0" r="0" b="0"/>
            <wp:docPr id="22530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01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4906" cy="114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50B10" w14:textId="77777777" w:rsidR="00D27A65" w:rsidRDefault="00D27A65" w:rsidP="00D27A65">
      <w:pPr>
        <w:pStyle w:val="Heading1"/>
        <w:jc w:val="center"/>
        <w:rPr>
          <w:b/>
          <w:bCs/>
          <w:color w:val="1F3864" w:themeColor="accent1" w:themeShade="80"/>
          <w:u w:val="single"/>
          <w:lang w:val="en-GB"/>
        </w:rPr>
      </w:pPr>
    </w:p>
    <w:p w14:paraId="59B6D531" w14:textId="0DC5B533" w:rsidR="00D27A65" w:rsidRDefault="00D27A65" w:rsidP="00D27A65">
      <w:pPr>
        <w:pStyle w:val="Heading1"/>
        <w:jc w:val="center"/>
        <w:rPr>
          <w:b/>
          <w:bCs/>
          <w:color w:val="1F3864" w:themeColor="accent1" w:themeShade="80"/>
          <w:u w:val="single"/>
          <w:lang w:val="en-GB"/>
        </w:rPr>
      </w:pPr>
      <w:r w:rsidRPr="330D93FB">
        <w:rPr>
          <w:b/>
          <w:bCs/>
          <w:color w:val="1F3864" w:themeColor="accent1" w:themeShade="80"/>
          <w:u w:val="single"/>
          <w:lang w:val="en-GB"/>
        </w:rPr>
        <w:t>Note</w:t>
      </w:r>
      <w:r>
        <w:rPr>
          <w:b/>
          <w:bCs/>
          <w:color w:val="1F3864" w:themeColor="accent1" w:themeShade="80"/>
          <w:u w:val="single"/>
          <w:lang w:val="en-GB"/>
        </w:rPr>
        <w:t>s</w:t>
      </w:r>
      <w:r w:rsidRPr="110075DD">
        <w:rPr>
          <w:b/>
          <w:bCs/>
          <w:color w:val="1F3864" w:themeColor="accent1" w:themeShade="80"/>
          <w:u w:val="single"/>
          <w:lang w:val="en-GB"/>
        </w:rPr>
        <w:t xml:space="preserve"> to </w:t>
      </w:r>
      <w:r w:rsidRPr="3472FC59">
        <w:rPr>
          <w:b/>
          <w:bCs/>
          <w:color w:val="1F3864" w:themeColor="accent1" w:themeShade="80"/>
          <w:u w:val="single"/>
          <w:lang w:val="en-GB"/>
        </w:rPr>
        <w:t xml:space="preserve">TACAP </w:t>
      </w:r>
      <w:r w:rsidRPr="117BD0B7">
        <w:rPr>
          <w:b/>
          <w:bCs/>
          <w:color w:val="1F3864" w:themeColor="accent1" w:themeShade="80"/>
          <w:u w:val="single"/>
          <w:lang w:val="en-GB"/>
        </w:rPr>
        <w:t>Applicant</w:t>
      </w:r>
      <w:r>
        <w:rPr>
          <w:b/>
          <w:bCs/>
          <w:color w:val="1F3864" w:themeColor="accent1" w:themeShade="80"/>
          <w:u w:val="single"/>
          <w:lang w:val="en-GB"/>
        </w:rPr>
        <w:t>s</w:t>
      </w:r>
    </w:p>
    <w:p w14:paraId="6185CE5D" w14:textId="3077B827" w:rsidR="00FD3125" w:rsidRPr="00FD3125" w:rsidRDefault="00FD3125" w:rsidP="00FD3125">
      <w:pPr>
        <w:pStyle w:val="Heading1"/>
        <w:jc w:val="center"/>
        <w:rPr>
          <w:b/>
          <w:bCs/>
          <w:color w:val="1F3864" w:themeColor="accent1" w:themeShade="80"/>
          <w:sz w:val="24"/>
          <w:szCs w:val="24"/>
          <w:lang w:val="en-GB"/>
        </w:rPr>
      </w:pPr>
      <w:r>
        <w:rPr>
          <w:b/>
          <w:bCs/>
          <w:color w:val="1F3864" w:themeColor="accent1" w:themeShade="80"/>
          <w:sz w:val="24"/>
          <w:szCs w:val="24"/>
          <w:lang w:val="en-GB"/>
        </w:rPr>
        <w:t>[</w:t>
      </w:r>
      <w:r w:rsidRPr="00FD3125">
        <w:rPr>
          <w:b/>
          <w:bCs/>
          <w:color w:val="1F3864" w:themeColor="accent1" w:themeShade="80"/>
          <w:sz w:val="24"/>
          <w:szCs w:val="24"/>
          <w:lang w:val="en-GB"/>
        </w:rPr>
        <w:t>Issued on 26 May 2026 (</w:t>
      </w:r>
      <w:r w:rsidRPr="00FD3125">
        <w:rPr>
          <w:b/>
          <w:bCs/>
          <w:i/>
          <w:iCs/>
          <w:color w:val="1F3864" w:themeColor="accent1" w:themeShade="80"/>
          <w:sz w:val="24"/>
          <w:szCs w:val="24"/>
          <w:lang w:val="en-GB"/>
        </w:rPr>
        <w:t>Version 1.0</w:t>
      </w:r>
      <w:r w:rsidRPr="00FD3125">
        <w:rPr>
          <w:b/>
          <w:bCs/>
          <w:color w:val="1F3864" w:themeColor="accent1" w:themeShade="80"/>
          <w:sz w:val="24"/>
          <w:szCs w:val="24"/>
          <w:lang w:val="en-GB"/>
        </w:rPr>
        <w:t>)</w:t>
      </w:r>
      <w:r>
        <w:rPr>
          <w:b/>
          <w:bCs/>
          <w:color w:val="1F3864" w:themeColor="accent1" w:themeShade="80"/>
          <w:sz w:val="24"/>
          <w:szCs w:val="24"/>
          <w:lang w:val="en-GB"/>
        </w:rPr>
        <w:t>]</w:t>
      </w:r>
    </w:p>
    <w:p w14:paraId="4F968AA0" w14:textId="5E81EB5C" w:rsidR="002B0247" w:rsidRPr="006878B4" w:rsidRDefault="005F04BE" w:rsidP="005F04BE">
      <w:pPr>
        <w:pStyle w:val="Heading1"/>
        <w:jc w:val="center"/>
        <w:rPr>
          <w:b/>
          <w:bCs/>
          <w:color w:val="1F3864" w:themeColor="accent1" w:themeShade="80"/>
          <w:lang w:val="en-GB"/>
        </w:rPr>
      </w:pPr>
      <w:r>
        <w:rPr>
          <w:b/>
          <w:bCs/>
          <w:color w:val="1F3864" w:themeColor="accent1" w:themeShade="80"/>
          <w:lang w:val="en-GB"/>
        </w:rPr>
        <w:t xml:space="preserve">Submission of </w:t>
      </w:r>
      <w:r w:rsidR="002B0247" w:rsidRPr="00DD59DF">
        <w:rPr>
          <w:b/>
          <w:bCs/>
          <w:color w:val="1F3864" w:themeColor="accent1" w:themeShade="80"/>
          <w:lang w:val="en-GB"/>
        </w:rPr>
        <w:t xml:space="preserve">Undertakings </w:t>
      </w:r>
      <w:r w:rsidR="002B0247" w:rsidRPr="00AA254A">
        <w:rPr>
          <w:b/>
          <w:bCs/>
          <w:color w:val="1F3864" w:themeColor="accent1" w:themeShade="80"/>
          <w:lang w:val="en-GB"/>
        </w:rPr>
        <w:t>under</w:t>
      </w:r>
      <w:r>
        <w:rPr>
          <w:b/>
          <w:bCs/>
          <w:color w:val="1F3864" w:themeColor="accent1" w:themeShade="80"/>
          <w:lang w:val="en-GB"/>
        </w:rPr>
        <w:t xml:space="preserve"> </w:t>
      </w:r>
      <w:r w:rsidR="43531CD8" w:rsidRPr="43531CD8">
        <w:rPr>
          <w:b/>
          <w:bCs/>
          <w:color w:val="1F3864" w:themeColor="accent1" w:themeShade="80"/>
          <w:lang w:val="en-GB"/>
        </w:rPr>
        <w:t>section</w:t>
      </w:r>
      <w:r>
        <w:rPr>
          <w:b/>
          <w:bCs/>
          <w:color w:val="1F3864" w:themeColor="accent1" w:themeShade="80"/>
          <w:lang w:val="en-GB"/>
        </w:rPr>
        <w:t xml:space="preserve"> 63 of Competition Act pursuant to</w:t>
      </w:r>
    </w:p>
    <w:p w14:paraId="0709EA1F" w14:textId="2309DD72" w:rsidR="002B0247" w:rsidRDefault="005F04BE" w:rsidP="662CDE1C">
      <w:pPr>
        <w:jc w:val="center"/>
        <w:rPr>
          <w:lang w:val="en-GB"/>
        </w:rPr>
      </w:pPr>
      <w:r w:rsidRPr="005F04BE"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32"/>
          <w:szCs w:val="32"/>
          <w:lang w:val="en-GB"/>
        </w:rPr>
        <w:t>“Competition Commission (Trade Association and Cooperatives Amnesty Programme) Regulations 2026” (‘TACAP Regulations’)</w:t>
      </w:r>
    </w:p>
    <w:p w14:paraId="2267526C" w14:textId="77777777" w:rsidR="002B0247" w:rsidRDefault="002B0247" w:rsidP="002B0247">
      <w:pPr>
        <w:rPr>
          <w:lang w:val="en-GB"/>
        </w:rPr>
      </w:pPr>
    </w:p>
    <w:p w14:paraId="78C5E2EE" w14:textId="4CA89930" w:rsidR="002B0247" w:rsidRDefault="00D15223" w:rsidP="00D15223">
      <w:pPr>
        <w:spacing w:before="120" w:after="120"/>
        <w:jc w:val="both"/>
        <w:rPr>
          <w:lang w:val="en-US"/>
        </w:rPr>
      </w:pPr>
      <w:r>
        <w:rPr>
          <w:lang w:val="en-GB"/>
        </w:rPr>
        <w:t xml:space="preserve">Pursuant to </w:t>
      </w:r>
      <w:r w:rsidR="00911536">
        <w:rPr>
          <w:lang w:val="en-GB"/>
        </w:rPr>
        <w:t>Regulation</w:t>
      </w:r>
      <w:r>
        <w:rPr>
          <w:lang w:val="en-GB"/>
        </w:rPr>
        <w:t xml:space="preserve"> 7(1) of the “</w:t>
      </w:r>
      <w:r w:rsidRPr="4E96D0C6">
        <w:rPr>
          <w:i/>
          <w:iCs/>
          <w:lang w:val="en-GB"/>
        </w:rPr>
        <w:t>Competition Commission (Trade Association and Cooperatives Amnesty Programme) Regulations 2026”</w:t>
      </w:r>
      <w:r>
        <w:rPr>
          <w:i/>
          <w:iCs/>
          <w:lang w:val="en-GB"/>
        </w:rPr>
        <w:t xml:space="preserve"> </w:t>
      </w:r>
      <w:r w:rsidRPr="007E613A">
        <w:rPr>
          <w:lang w:val="en-GB"/>
        </w:rPr>
        <w:t>(‘TACAP Regulations’)</w:t>
      </w:r>
      <w:r>
        <w:rPr>
          <w:i/>
          <w:iCs/>
          <w:lang w:val="en-GB"/>
        </w:rPr>
        <w:t xml:space="preserve">, </w:t>
      </w:r>
      <w:r>
        <w:rPr>
          <w:lang w:val="en-GB"/>
        </w:rPr>
        <w:t xml:space="preserve">an applicant for TACAP must </w:t>
      </w:r>
      <w:r w:rsidRPr="00D15223">
        <w:rPr>
          <w:lang w:val="en-US"/>
        </w:rPr>
        <w:t xml:space="preserve">propose undertakings in accordance with section 63 of the </w:t>
      </w:r>
      <w:r>
        <w:rPr>
          <w:lang w:val="en-US"/>
        </w:rPr>
        <w:t xml:space="preserve">Competition </w:t>
      </w:r>
      <w:r w:rsidRPr="00D15223">
        <w:rPr>
          <w:lang w:val="en-US"/>
        </w:rPr>
        <w:t>Act</w:t>
      </w:r>
      <w:r>
        <w:rPr>
          <w:lang w:val="en-US"/>
        </w:rPr>
        <w:t xml:space="preserve"> 2007 (the ‘Act’)</w:t>
      </w:r>
      <w:r w:rsidRPr="00D15223">
        <w:rPr>
          <w:lang w:val="en-US"/>
        </w:rPr>
        <w:t xml:space="preserve"> to ensure that the applicant and its consenting members cease participation in the </w:t>
      </w:r>
      <w:r>
        <w:rPr>
          <w:lang w:val="en-US"/>
        </w:rPr>
        <w:t xml:space="preserve">conduct(s) </w:t>
      </w:r>
      <w:r w:rsidRPr="00D15223">
        <w:rPr>
          <w:lang w:val="en-US"/>
        </w:rPr>
        <w:t xml:space="preserve">reported </w:t>
      </w:r>
      <w:r>
        <w:rPr>
          <w:lang w:val="en-US"/>
        </w:rPr>
        <w:t xml:space="preserve">in the TACAP Application Form </w:t>
      </w:r>
      <w:r w:rsidRPr="00D15223">
        <w:rPr>
          <w:lang w:val="en-US"/>
        </w:rPr>
        <w:t>and to ensure compliance with the Act going forward</w:t>
      </w:r>
      <w:r w:rsidR="00975BBA">
        <w:rPr>
          <w:lang w:val="en-US"/>
        </w:rPr>
        <w:t xml:space="preserve"> (the ‘Proposed Undertakings’).</w:t>
      </w:r>
      <w:r>
        <w:rPr>
          <w:lang w:val="en-US"/>
        </w:rPr>
        <w:t xml:space="preserve"> </w:t>
      </w:r>
    </w:p>
    <w:p w14:paraId="553ADF91" w14:textId="6ADDCD08" w:rsidR="000D6DF1" w:rsidRDefault="000D6DF1" w:rsidP="00D15223">
      <w:pPr>
        <w:spacing w:before="120" w:after="120"/>
        <w:jc w:val="both"/>
        <w:rPr>
          <w:lang w:val="en-GB"/>
        </w:rPr>
      </w:pPr>
      <w:r>
        <w:rPr>
          <w:lang w:val="en-GB"/>
        </w:rPr>
        <w:t xml:space="preserve">Pursuant to </w:t>
      </w:r>
      <w:r w:rsidR="00746298">
        <w:rPr>
          <w:lang w:val="en-GB"/>
        </w:rPr>
        <w:t>Regulation</w:t>
      </w:r>
      <w:r>
        <w:rPr>
          <w:lang w:val="en-GB"/>
        </w:rPr>
        <w:t xml:space="preserve"> 8(9) of TACAP Regulations, t</w:t>
      </w:r>
      <w:r>
        <w:rPr>
          <w:lang w:val="en-US"/>
        </w:rPr>
        <w:t xml:space="preserve">he Commission may </w:t>
      </w:r>
      <w:r w:rsidRPr="000D6DF1">
        <w:rPr>
          <w:lang w:val="en-US"/>
        </w:rPr>
        <w:t xml:space="preserve">impose as directions the </w:t>
      </w:r>
      <w:r>
        <w:rPr>
          <w:lang w:val="en-US"/>
        </w:rPr>
        <w:t>Proposed U</w:t>
      </w:r>
      <w:r w:rsidRPr="000D6DF1">
        <w:rPr>
          <w:lang w:val="en-US"/>
        </w:rPr>
        <w:t>ndertakings</w:t>
      </w:r>
      <w:r>
        <w:rPr>
          <w:lang w:val="en-US"/>
        </w:rPr>
        <w:t xml:space="preserve">.  </w:t>
      </w:r>
      <w:r>
        <w:rPr>
          <w:lang w:val="en-GB"/>
        </w:rPr>
        <w:t>The Proposed Undertakings, if accepted by the Commission, shall be binding upon the applicant, its consenting members and the future conduct of the applicant’s activities.</w:t>
      </w:r>
    </w:p>
    <w:p w14:paraId="5AE79E59" w14:textId="6F7813A5" w:rsidR="00D15223" w:rsidRPr="00D15223" w:rsidRDefault="000D6DF1" w:rsidP="007E613A">
      <w:pPr>
        <w:spacing w:before="120" w:after="120"/>
        <w:jc w:val="both"/>
        <w:rPr>
          <w:lang w:val="en-GB"/>
        </w:rPr>
      </w:pPr>
      <w:r>
        <w:rPr>
          <w:lang w:val="en-US"/>
        </w:rPr>
        <w:t xml:space="preserve">Alternatively, the Commission may </w:t>
      </w:r>
      <w:r w:rsidRPr="000D6DF1">
        <w:rPr>
          <w:lang w:val="en-US"/>
        </w:rPr>
        <w:t xml:space="preserve">impose directions in addition to or other than the </w:t>
      </w:r>
      <w:r>
        <w:rPr>
          <w:lang w:val="en-US"/>
        </w:rPr>
        <w:t>Proposed U</w:t>
      </w:r>
      <w:r w:rsidRPr="000D6DF1">
        <w:rPr>
          <w:lang w:val="en-US"/>
        </w:rPr>
        <w:t>ndertakings</w:t>
      </w:r>
      <w:r>
        <w:rPr>
          <w:lang w:val="en-US"/>
        </w:rPr>
        <w:t>.  Should this be the case</w:t>
      </w:r>
      <w:r w:rsidR="00286BA8">
        <w:rPr>
          <w:lang w:val="en-US"/>
        </w:rPr>
        <w:t xml:space="preserve">, </w:t>
      </w:r>
      <w:r>
        <w:rPr>
          <w:lang w:val="en-US"/>
        </w:rPr>
        <w:t xml:space="preserve">the provisions of sub-paragraphs (10), (11), and (12) of </w:t>
      </w:r>
      <w:r w:rsidR="00C0326A">
        <w:rPr>
          <w:lang w:val="en-US"/>
        </w:rPr>
        <w:t xml:space="preserve">Regulation </w:t>
      </w:r>
      <w:r>
        <w:rPr>
          <w:lang w:val="en-US"/>
        </w:rPr>
        <w:t>8 of TACAP Regulations will apply.</w:t>
      </w:r>
    </w:p>
    <w:p w14:paraId="41592A8D" w14:textId="77777777" w:rsidR="00411F48" w:rsidRDefault="00411F48">
      <w:pPr>
        <w:jc w:val="both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</w:pPr>
    </w:p>
    <w:p w14:paraId="7FE0A4E6" w14:textId="0E1B1DF6" w:rsidR="00545554" w:rsidRPr="007E613A" w:rsidRDefault="00545554">
      <w:pPr>
        <w:jc w:val="both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</w:pPr>
      <w:r w:rsidRPr="78F11585">
        <w:rPr>
          <w:rFonts w:asciiTheme="majorHAnsi" w:eastAsiaTheme="majorEastAsia" w:hAnsiTheme="majorHAnsi" w:cstheme="majorBidi"/>
          <w:color w:val="1F3763"/>
          <w:sz w:val="24"/>
          <w:szCs w:val="24"/>
          <w:lang w:val="en-US"/>
        </w:rPr>
        <w:t>DISCLAIMER AND TEMPLATE USAGE NOTICE</w:t>
      </w:r>
    </w:p>
    <w:p w14:paraId="4B66E624" w14:textId="392F0A94" w:rsidR="005C4794" w:rsidRDefault="005C4794">
      <w:pPr>
        <w:jc w:val="both"/>
        <w:rPr>
          <w:i/>
          <w:iCs/>
          <w:lang w:val="en-US"/>
        </w:rPr>
      </w:pPr>
      <w:r w:rsidRPr="78F11585">
        <w:rPr>
          <w:i/>
          <w:iCs/>
          <w:lang w:val="en-US"/>
        </w:rPr>
        <w:t xml:space="preserve">This Template is issued by the Competition Commission </w:t>
      </w:r>
      <w:r w:rsidR="5BB08B42" w:rsidRPr="5BB08B42">
        <w:rPr>
          <w:i/>
          <w:iCs/>
          <w:lang w:val="en-US"/>
        </w:rPr>
        <w:t>only for</w:t>
      </w:r>
      <w:r w:rsidRPr="78F11585">
        <w:rPr>
          <w:i/>
          <w:iCs/>
          <w:lang w:val="en-US"/>
        </w:rPr>
        <w:t xml:space="preserve"> general guidance purposes to assist applicants under the TACAP Regulations in preparing </w:t>
      </w:r>
      <w:r w:rsidR="00B252E0">
        <w:rPr>
          <w:i/>
          <w:iCs/>
          <w:lang w:val="en-US"/>
        </w:rPr>
        <w:t>P</w:t>
      </w:r>
      <w:r w:rsidRPr="007E613A">
        <w:rPr>
          <w:i/>
          <w:iCs/>
          <w:lang w:val="en-US"/>
        </w:rPr>
        <w:t xml:space="preserve">roposed </w:t>
      </w:r>
      <w:r w:rsidR="00B252E0">
        <w:rPr>
          <w:i/>
          <w:iCs/>
          <w:lang w:val="en-US"/>
        </w:rPr>
        <w:t>U</w:t>
      </w:r>
      <w:r w:rsidRPr="7B8300A9">
        <w:rPr>
          <w:i/>
          <w:iCs/>
          <w:lang w:val="en-US"/>
        </w:rPr>
        <w:t>ndertakings in connection with a TACAP application.</w:t>
      </w:r>
    </w:p>
    <w:p w14:paraId="1E69B256" w14:textId="5435F334" w:rsidR="00747AD8" w:rsidRPr="00747AD8" w:rsidRDefault="000D6DF1">
      <w:pPr>
        <w:jc w:val="both"/>
        <w:rPr>
          <w:i/>
          <w:iCs/>
          <w:lang w:val="en-US"/>
        </w:rPr>
      </w:pPr>
      <w:r w:rsidRPr="37F3309F">
        <w:rPr>
          <w:i/>
          <w:iCs/>
          <w:lang w:val="en-US"/>
        </w:rPr>
        <w:t xml:space="preserve">The </w:t>
      </w:r>
      <w:r w:rsidR="005F04BE">
        <w:rPr>
          <w:i/>
          <w:iCs/>
          <w:lang w:val="en-US"/>
        </w:rPr>
        <w:t>clauses and provisions</w:t>
      </w:r>
      <w:r w:rsidRPr="73B4BC1F">
        <w:rPr>
          <w:i/>
          <w:iCs/>
          <w:lang w:val="en-US"/>
        </w:rPr>
        <w:t xml:space="preserve"> contained in this </w:t>
      </w:r>
      <w:r w:rsidR="00A65FB5">
        <w:rPr>
          <w:i/>
          <w:iCs/>
          <w:lang w:val="en-US"/>
        </w:rPr>
        <w:t>T</w:t>
      </w:r>
      <w:r w:rsidRPr="73B4BC1F">
        <w:rPr>
          <w:i/>
          <w:iCs/>
          <w:lang w:val="en-US"/>
        </w:rPr>
        <w:t>emplate are non-exhaustive</w:t>
      </w:r>
      <w:r w:rsidR="00B252E0">
        <w:rPr>
          <w:i/>
          <w:iCs/>
          <w:lang w:val="en-US"/>
        </w:rPr>
        <w:t xml:space="preserve"> </w:t>
      </w:r>
      <w:r w:rsidR="00B252E0" w:rsidRPr="31ECBFD6">
        <w:rPr>
          <w:i/>
          <w:iCs/>
          <w:lang w:val="en-US"/>
        </w:rPr>
        <w:t xml:space="preserve">and are intended to provide a minimum compliance framework for </w:t>
      </w:r>
      <w:r w:rsidR="00B252E0">
        <w:rPr>
          <w:i/>
          <w:iCs/>
          <w:lang w:val="en-US"/>
        </w:rPr>
        <w:t>P</w:t>
      </w:r>
      <w:r w:rsidR="00B252E0" w:rsidRPr="11AC3F96">
        <w:rPr>
          <w:i/>
          <w:iCs/>
          <w:lang w:val="en-US"/>
        </w:rPr>
        <w:t xml:space="preserve">roposed </w:t>
      </w:r>
      <w:r w:rsidR="00B252E0">
        <w:rPr>
          <w:i/>
          <w:iCs/>
          <w:lang w:val="en-US"/>
        </w:rPr>
        <w:t>U</w:t>
      </w:r>
      <w:r w:rsidR="00B252E0" w:rsidRPr="0EEE3114">
        <w:rPr>
          <w:i/>
          <w:iCs/>
          <w:lang w:val="en-US"/>
        </w:rPr>
        <w:t>ndertakings</w:t>
      </w:r>
      <w:r w:rsidRPr="0383AD2A">
        <w:rPr>
          <w:i/>
          <w:iCs/>
          <w:lang w:val="en-US"/>
        </w:rPr>
        <w:t xml:space="preserve">. </w:t>
      </w:r>
      <w:r w:rsidR="00747AD8" w:rsidRPr="2E479739">
        <w:rPr>
          <w:i/>
          <w:iCs/>
          <w:lang w:val="en-US"/>
        </w:rPr>
        <w:t xml:space="preserve">Nothing in this Template shall be construed as  legal advice, legal interpretation, or a determination by the </w:t>
      </w:r>
      <w:r w:rsidR="00747AD8">
        <w:rPr>
          <w:i/>
          <w:iCs/>
          <w:lang w:val="en-US"/>
        </w:rPr>
        <w:t xml:space="preserve">Competition </w:t>
      </w:r>
      <w:r w:rsidR="00747AD8" w:rsidRPr="490A5ACE">
        <w:rPr>
          <w:i/>
          <w:iCs/>
          <w:lang w:val="en-US"/>
        </w:rPr>
        <w:t xml:space="preserve">Commission as to the adequacy, legality, sufficiency, or acceptability of any </w:t>
      </w:r>
      <w:r w:rsidR="00747AD8">
        <w:rPr>
          <w:i/>
          <w:iCs/>
          <w:lang w:val="en-US"/>
        </w:rPr>
        <w:t>P</w:t>
      </w:r>
      <w:r w:rsidR="00747AD8" w:rsidRPr="4149C6A0">
        <w:rPr>
          <w:i/>
          <w:iCs/>
          <w:lang w:val="en-US"/>
        </w:rPr>
        <w:t xml:space="preserve">roposed </w:t>
      </w:r>
      <w:r w:rsidR="00747AD8">
        <w:rPr>
          <w:i/>
          <w:iCs/>
          <w:lang w:val="en-US"/>
        </w:rPr>
        <w:t>U</w:t>
      </w:r>
      <w:r w:rsidR="00747AD8" w:rsidRPr="5D316662">
        <w:rPr>
          <w:i/>
          <w:iCs/>
          <w:lang w:val="en-US"/>
        </w:rPr>
        <w:t xml:space="preserve">ndertaking in any </w:t>
      </w:r>
      <w:bookmarkStart w:id="0" w:name="_Int_GlATcf1C"/>
      <w:r w:rsidR="00747AD8" w:rsidRPr="5D316662">
        <w:rPr>
          <w:i/>
          <w:iCs/>
          <w:lang w:val="en-US"/>
        </w:rPr>
        <w:t>particular case</w:t>
      </w:r>
      <w:bookmarkEnd w:id="0"/>
      <w:r w:rsidR="00747AD8" w:rsidRPr="5D316662">
        <w:rPr>
          <w:i/>
          <w:iCs/>
          <w:lang w:val="en-US"/>
        </w:rPr>
        <w:t>.</w:t>
      </w:r>
    </w:p>
    <w:p w14:paraId="3DA87179" w14:textId="52481D23" w:rsidR="000D6DF1" w:rsidRPr="007E613A" w:rsidRDefault="005F04BE" w:rsidP="007E613A">
      <w:pPr>
        <w:jc w:val="both"/>
        <w:rPr>
          <w:i/>
          <w:iCs/>
          <w:lang w:val="en-US"/>
        </w:rPr>
      </w:pPr>
      <w:r w:rsidRPr="007E613A">
        <w:rPr>
          <w:i/>
          <w:iCs/>
          <w:lang w:val="en-US"/>
        </w:rPr>
        <w:t xml:space="preserve">Use of this </w:t>
      </w:r>
      <w:r w:rsidR="00747AD8">
        <w:rPr>
          <w:i/>
          <w:iCs/>
          <w:lang w:val="en-US"/>
        </w:rPr>
        <w:t>T</w:t>
      </w:r>
      <w:r w:rsidRPr="007E613A">
        <w:rPr>
          <w:i/>
          <w:iCs/>
          <w:lang w:val="en-US"/>
        </w:rPr>
        <w:t xml:space="preserve">emplate does not guarantee </w:t>
      </w:r>
      <w:r w:rsidR="00A65FB5">
        <w:rPr>
          <w:i/>
          <w:iCs/>
          <w:lang w:val="en-US"/>
        </w:rPr>
        <w:t xml:space="preserve">automatic </w:t>
      </w:r>
      <w:r w:rsidRPr="007E613A">
        <w:rPr>
          <w:i/>
          <w:iCs/>
          <w:lang w:val="en-US"/>
        </w:rPr>
        <w:t>acceptance</w:t>
      </w:r>
      <w:r w:rsidR="006A2FB2">
        <w:rPr>
          <w:i/>
          <w:iCs/>
          <w:lang w:val="en-US"/>
        </w:rPr>
        <w:t>, approval or endorsement by the Competition Commission</w:t>
      </w:r>
      <w:r w:rsidRPr="007E613A">
        <w:rPr>
          <w:i/>
          <w:iCs/>
          <w:lang w:val="en-US"/>
        </w:rPr>
        <w:t xml:space="preserve"> of any </w:t>
      </w:r>
      <w:r w:rsidR="006A2FB2">
        <w:rPr>
          <w:i/>
          <w:iCs/>
          <w:lang w:val="en-US"/>
        </w:rPr>
        <w:t>P</w:t>
      </w:r>
      <w:r w:rsidRPr="007E613A">
        <w:rPr>
          <w:i/>
          <w:iCs/>
          <w:lang w:val="en-US"/>
        </w:rPr>
        <w:t xml:space="preserve">roposed </w:t>
      </w:r>
      <w:r w:rsidR="006A2FB2">
        <w:rPr>
          <w:i/>
          <w:iCs/>
          <w:lang w:val="en-US"/>
        </w:rPr>
        <w:t>U</w:t>
      </w:r>
      <w:r w:rsidRPr="007E613A">
        <w:rPr>
          <w:i/>
          <w:iCs/>
          <w:lang w:val="en-US"/>
        </w:rPr>
        <w:t xml:space="preserve">ndertaking </w:t>
      </w:r>
      <w:bookmarkStart w:id="1" w:name="_Int_NmC8VZgq"/>
      <w:r w:rsidR="006A2FB2">
        <w:rPr>
          <w:i/>
          <w:iCs/>
          <w:lang w:val="en-US"/>
        </w:rPr>
        <w:t>submitted</w:t>
      </w:r>
      <w:bookmarkEnd w:id="1"/>
      <w:r w:rsidR="006A2FB2">
        <w:rPr>
          <w:i/>
          <w:iCs/>
          <w:lang w:val="en-US"/>
        </w:rPr>
        <w:t xml:space="preserve"> by an applicant</w:t>
      </w:r>
      <w:r>
        <w:rPr>
          <w:i/>
          <w:iCs/>
          <w:lang w:val="en-US"/>
        </w:rPr>
        <w:t>.</w:t>
      </w:r>
      <w:r w:rsidR="007C3B44">
        <w:rPr>
          <w:i/>
          <w:iCs/>
          <w:lang w:val="en-US"/>
        </w:rPr>
        <w:t xml:space="preserve"> </w:t>
      </w:r>
      <w:r w:rsidR="007C3B44" w:rsidRPr="007E613A">
        <w:rPr>
          <w:i/>
          <w:iCs/>
          <w:lang w:val="en-US"/>
        </w:rPr>
        <w:t>The C</w:t>
      </w:r>
      <w:r w:rsidR="007C3B44">
        <w:rPr>
          <w:i/>
          <w:iCs/>
          <w:lang w:val="en-US"/>
        </w:rPr>
        <w:t xml:space="preserve">ompetition </w:t>
      </w:r>
      <w:r w:rsidR="007C3B44">
        <w:rPr>
          <w:i/>
          <w:iCs/>
          <w:lang w:val="en-US"/>
        </w:rPr>
        <w:lastRenderedPageBreak/>
        <w:t>C</w:t>
      </w:r>
      <w:r w:rsidR="007C3B44" w:rsidRPr="007E613A">
        <w:rPr>
          <w:i/>
          <w:iCs/>
          <w:lang w:val="en-US"/>
        </w:rPr>
        <w:t xml:space="preserve">ommission retains full discretion, pursuant to the </w:t>
      </w:r>
      <w:r w:rsidR="00A65FB5">
        <w:rPr>
          <w:i/>
          <w:iCs/>
          <w:lang w:val="en-US"/>
        </w:rPr>
        <w:t>Act</w:t>
      </w:r>
      <w:r w:rsidR="007C3B44">
        <w:rPr>
          <w:i/>
          <w:iCs/>
          <w:lang w:val="en-US"/>
        </w:rPr>
        <w:t xml:space="preserve"> and</w:t>
      </w:r>
      <w:r w:rsidR="007C3B44" w:rsidRPr="007E613A">
        <w:rPr>
          <w:i/>
          <w:iCs/>
          <w:lang w:val="en-US"/>
        </w:rPr>
        <w:t xml:space="preserve"> the TACAP Regulations</w:t>
      </w:r>
      <w:r w:rsidR="3073EC93" w:rsidRPr="3073EC93">
        <w:rPr>
          <w:i/>
          <w:iCs/>
          <w:lang w:val="en-US"/>
        </w:rPr>
        <w:t>,</w:t>
      </w:r>
      <w:r w:rsidR="007C3B44">
        <w:rPr>
          <w:i/>
          <w:iCs/>
          <w:lang w:val="en-US"/>
        </w:rPr>
        <w:t xml:space="preserve"> to</w:t>
      </w:r>
      <w:r w:rsidR="007C3B44" w:rsidRPr="007E613A">
        <w:rPr>
          <w:i/>
          <w:iCs/>
          <w:lang w:val="en-US"/>
        </w:rPr>
        <w:t xml:space="preserve"> assess whether any </w:t>
      </w:r>
      <w:r w:rsidR="007C3B44">
        <w:rPr>
          <w:i/>
          <w:iCs/>
          <w:lang w:val="en-US"/>
        </w:rPr>
        <w:t>P</w:t>
      </w:r>
      <w:r w:rsidR="007C3B44" w:rsidRPr="007E613A">
        <w:rPr>
          <w:i/>
          <w:iCs/>
          <w:lang w:val="en-US"/>
        </w:rPr>
        <w:t xml:space="preserve">roposed </w:t>
      </w:r>
      <w:r w:rsidR="007C3B44">
        <w:rPr>
          <w:i/>
          <w:iCs/>
          <w:lang w:val="en-US"/>
        </w:rPr>
        <w:t>U</w:t>
      </w:r>
      <w:r w:rsidR="007C3B44" w:rsidRPr="007E613A">
        <w:rPr>
          <w:i/>
          <w:iCs/>
          <w:lang w:val="en-US"/>
        </w:rPr>
        <w:t xml:space="preserve">ndertaking is appropriate, sufficient, enforceable, and </w:t>
      </w:r>
      <w:r w:rsidR="00EA78CC">
        <w:rPr>
          <w:i/>
          <w:iCs/>
          <w:lang w:val="en-US"/>
        </w:rPr>
        <w:t>satis</w:t>
      </w:r>
      <w:r w:rsidR="00CB5FCC">
        <w:rPr>
          <w:i/>
          <w:iCs/>
          <w:lang w:val="en-US"/>
        </w:rPr>
        <w:t>factorily addresses</w:t>
      </w:r>
      <w:r w:rsidR="007C3B44" w:rsidRPr="007E613A">
        <w:rPr>
          <w:i/>
          <w:iCs/>
          <w:lang w:val="en-US"/>
        </w:rPr>
        <w:t xml:space="preserve"> the competition concerns arising from the conduct(s) disclosed in a TACAP application.</w:t>
      </w:r>
      <w:r>
        <w:rPr>
          <w:i/>
          <w:iCs/>
          <w:lang w:val="en-US"/>
        </w:rPr>
        <w:t xml:space="preserve">  </w:t>
      </w:r>
    </w:p>
    <w:p w14:paraId="13D0AAB7" w14:textId="04BA80F8" w:rsidR="00F9571F" w:rsidRDefault="00F9571F">
      <w:pPr>
        <w:jc w:val="both"/>
        <w:rPr>
          <w:i/>
          <w:iCs/>
          <w:lang w:val="en-US"/>
        </w:rPr>
      </w:pPr>
      <w:r w:rsidRPr="007E613A">
        <w:rPr>
          <w:b/>
          <w:bCs/>
          <w:i/>
          <w:iCs/>
          <w:lang w:val="en-US"/>
        </w:rPr>
        <w:t>Important</w:t>
      </w:r>
      <w:r>
        <w:rPr>
          <w:i/>
          <w:iCs/>
          <w:lang w:val="en-US"/>
        </w:rPr>
        <w:t xml:space="preserve">: </w:t>
      </w:r>
      <w:r w:rsidRPr="007E613A">
        <w:rPr>
          <w:i/>
          <w:iCs/>
          <w:lang w:val="en-US"/>
        </w:rPr>
        <w:t xml:space="preserve">The clauses and commitments contained in this Template constitute the minimum undertakings and compliance commitments expected from </w:t>
      </w:r>
      <w:r w:rsidR="00F60A5C">
        <w:rPr>
          <w:i/>
          <w:iCs/>
          <w:lang w:val="en-US"/>
        </w:rPr>
        <w:t>a</w:t>
      </w:r>
      <w:r w:rsidRPr="007E613A">
        <w:rPr>
          <w:i/>
          <w:iCs/>
          <w:lang w:val="en-US"/>
        </w:rPr>
        <w:t xml:space="preserve"> TACAP Applicant and its consenting members for the purposes of compliance with </w:t>
      </w:r>
      <w:r w:rsidR="00A65FB5">
        <w:rPr>
          <w:i/>
          <w:iCs/>
          <w:lang w:val="en-US"/>
        </w:rPr>
        <w:t xml:space="preserve">Act </w:t>
      </w:r>
      <w:r w:rsidRPr="007E613A">
        <w:rPr>
          <w:i/>
          <w:iCs/>
          <w:lang w:val="en-US"/>
        </w:rPr>
        <w:t xml:space="preserve">and the TACAP Regulations. Accordingly, </w:t>
      </w:r>
      <w:r w:rsidR="000A10C0">
        <w:rPr>
          <w:i/>
          <w:iCs/>
          <w:lang w:val="en-US"/>
        </w:rPr>
        <w:t xml:space="preserve">the </w:t>
      </w:r>
      <w:r w:rsidR="00225C89">
        <w:rPr>
          <w:i/>
          <w:iCs/>
          <w:lang w:val="en-US"/>
        </w:rPr>
        <w:t>content</w:t>
      </w:r>
      <w:r w:rsidR="00CB2A9F">
        <w:rPr>
          <w:i/>
          <w:iCs/>
          <w:lang w:val="en-US"/>
        </w:rPr>
        <w:t xml:space="preserve"> of </w:t>
      </w:r>
      <w:r w:rsidR="00D65711">
        <w:rPr>
          <w:i/>
          <w:iCs/>
          <w:lang w:val="en-US"/>
        </w:rPr>
        <w:t>th</w:t>
      </w:r>
      <w:r w:rsidR="00E82ED1">
        <w:rPr>
          <w:i/>
          <w:iCs/>
          <w:lang w:val="en-US"/>
        </w:rPr>
        <w:t>is Temp</w:t>
      </w:r>
      <w:r w:rsidR="0068642D">
        <w:rPr>
          <w:i/>
          <w:iCs/>
          <w:lang w:val="en-US"/>
        </w:rPr>
        <w:t xml:space="preserve">late </w:t>
      </w:r>
      <w:r w:rsidR="00C33889">
        <w:rPr>
          <w:i/>
          <w:iCs/>
          <w:lang w:val="en-US"/>
        </w:rPr>
        <w:t xml:space="preserve">is </w:t>
      </w:r>
      <w:r w:rsidRPr="007E613A">
        <w:rPr>
          <w:i/>
          <w:iCs/>
          <w:lang w:val="en-US"/>
        </w:rPr>
        <w:t xml:space="preserve">mandatory </w:t>
      </w:r>
      <w:r w:rsidR="00085EE8">
        <w:rPr>
          <w:i/>
          <w:iCs/>
          <w:lang w:val="en-US"/>
        </w:rPr>
        <w:t>and</w:t>
      </w:r>
      <w:r w:rsidRPr="007E613A">
        <w:rPr>
          <w:i/>
          <w:iCs/>
          <w:lang w:val="en-US"/>
        </w:rPr>
        <w:t xml:space="preserve"> shall not be deleted, materially amended, replaced, or substituted without the prior written </w:t>
      </w:r>
      <w:proofErr w:type="spellStart"/>
      <w:r w:rsidRPr="007E613A">
        <w:rPr>
          <w:i/>
          <w:iCs/>
          <w:lang w:val="en-US"/>
        </w:rPr>
        <w:t>authorisation</w:t>
      </w:r>
      <w:proofErr w:type="spellEnd"/>
      <w:r w:rsidRPr="007E613A">
        <w:rPr>
          <w:i/>
          <w:iCs/>
          <w:lang w:val="en-US"/>
        </w:rPr>
        <w:t xml:space="preserve"> of the Competition Commission. Applicants may, however, supplement this Template with additional conduct-specific commitments, safeguards, or compliance measures necessary to</w:t>
      </w:r>
      <w:r w:rsidR="00B47E1C">
        <w:rPr>
          <w:i/>
          <w:iCs/>
          <w:lang w:val="en-US"/>
        </w:rPr>
        <w:t xml:space="preserve"> satisfactorily </w:t>
      </w:r>
      <w:r w:rsidRPr="007E613A">
        <w:rPr>
          <w:i/>
          <w:iCs/>
          <w:lang w:val="en-US"/>
        </w:rPr>
        <w:t>address the competition concerns arising from the conduct(s) disclosed in their TACAP application.</w:t>
      </w:r>
    </w:p>
    <w:p w14:paraId="5A1EE128" w14:textId="01116808" w:rsidR="005F04BE" w:rsidRPr="007E613A" w:rsidRDefault="005F04BE" w:rsidP="007E613A">
      <w:pPr>
        <w:jc w:val="both"/>
        <w:rPr>
          <w:i/>
          <w:iCs/>
          <w:lang w:val="en-US"/>
        </w:rPr>
      </w:pPr>
      <w:r w:rsidRPr="007E613A">
        <w:rPr>
          <w:i/>
          <w:iCs/>
          <w:lang w:val="en-US"/>
        </w:rPr>
        <w:t>Applicants remain solely responsible for:</w:t>
      </w:r>
    </w:p>
    <w:p w14:paraId="6DB09644" w14:textId="24ED364E" w:rsidR="005F04BE" w:rsidRPr="007E613A" w:rsidRDefault="005F04BE" w:rsidP="00A65FB5">
      <w:pPr>
        <w:pStyle w:val="ListParagraph"/>
        <w:numPr>
          <w:ilvl w:val="0"/>
          <w:numId w:val="8"/>
        </w:numPr>
        <w:contextualSpacing w:val="0"/>
        <w:jc w:val="both"/>
        <w:rPr>
          <w:i/>
          <w:iCs/>
          <w:lang w:val="en-US"/>
        </w:rPr>
      </w:pPr>
      <w:r w:rsidRPr="007E613A">
        <w:rPr>
          <w:i/>
          <w:iCs/>
          <w:lang w:val="en-US"/>
        </w:rPr>
        <w:t>ensuring that any proposed undertaking accurately reflect</w:t>
      </w:r>
      <w:r w:rsidR="00CB5FCC">
        <w:rPr>
          <w:i/>
          <w:iCs/>
          <w:lang w:val="en-US"/>
        </w:rPr>
        <w:t>s</w:t>
      </w:r>
      <w:r w:rsidRPr="007E613A">
        <w:rPr>
          <w:i/>
          <w:iCs/>
          <w:lang w:val="en-US"/>
        </w:rPr>
        <w:t xml:space="preserve"> their circumstances, governance structure, activities, and the conduct</w:t>
      </w:r>
      <w:r>
        <w:rPr>
          <w:i/>
          <w:iCs/>
          <w:lang w:val="en-US"/>
        </w:rPr>
        <w:t xml:space="preserve">(s) reported </w:t>
      </w:r>
      <w:r w:rsidRPr="007E613A">
        <w:rPr>
          <w:i/>
          <w:iCs/>
          <w:lang w:val="en-US"/>
        </w:rPr>
        <w:t xml:space="preserve">in their TACAP application; </w:t>
      </w:r>
    </w:p>
    <w:p w14:paraId="4BEEEE4D" w14:textId="3DD2DFBB" w:rsidR="005F04BE" w:rsidRPr="007E613A" w:rsidRDefault="005F04BE" w:rsidP="00A65FB5">
      <w:pPr>
        <w:pStyle w:val="ListParagraph"/>
        <w:numPr>
          <w:ilvl w:val="0"/>
          <w:numId w:val="8"/>
        </w:numPr>
        <w:contextualSpacing w:val="0"/>
        <w:jc w:val="both"/>
        <w:rPr>
          <w:i/>
          <w:iCs/>
          <w:lang w:val="en-US"/>
        </w:rPr>
      </w:pPr>
      <w:r w:rsidRPr="007E613A">
        <w:rPr>
          <w:i/>
          <w:iCs/>
          <w:lang w:val="en-US"/>
        </w:rPr>
        <w:t xml:space="preserve">ensuring full and ongoing compliance with the </w:t>
      </w:r>
      <w:r w:rsidR="00A65FB5">
        <w:rPr>
          <w:i/>
          <w:iCs/>
          <w:lang w:val="en-US"/>
        </w:rPr>
        <w:t>Act</w:t>
      </w:r>
      <w:r w:rsidRPr="007E613A">
        <w:rPr>
          <w:i/>
          <w:iCs/>
          <w:lang w:val="en-US"/>
        </w:rPr>
        <w:t>, the TACAP Regulations, and any direction issued by the Commission.</w:t>
      </w:r>
    </w:p>
    <w:p w14:paraId="502783FA" w14:textId="67D2CA3F" w:rsidR="002B0247" w:rsidRPr="00DD59DF" w:rsidRDefault="003964B0" w:rsidP="001E64D9">
      <w:pPr>
        <w:jc w:val="both"/>
        <w:rPr>
          <w:color w:val="1F3864" w:themeColor="accent1" w:themeShade="80"/>
          <w:lang w:val="en-GB"/>
        </w:rPr>
      </w:pPr>
      <w:r w:rsidRPr="007E613A">
        <w:rPr>
          <w:i/>
          <w:iCs/>
          <w:lang w:val="en-US"/>
        </w:rPr>
        <w:t xml:space="preserve">Failure to provide adequate and effective undertakings may result in the Commission determining that the </w:t>
      </w:r>
      <w:r>
        <w:rPr>
          <w:i/>
          <w:iCs/>
          <w:lang w:val="en-US"/>
        </w:rPr>
        <w:t>Propose</w:t>
      </w:r>
      <w:r w:rsidR="00CB5FCC">
        <w:rPr>
          <w:i/>
          <w:iCs/>
          <w:lang w:val="en-US"/>
        </w:rPr>
        <w:t>d</w:t>
      </w:r>
      <w:r>
        <w:rPr>
          <w:i/>
          <w:iCs/>
          <w:lang w:val="en-US"/>
        </w:rPr>
        <w:t xml:space="preserve"> Undertakings</w:t>
      </w:r>
      <w:r w:rsidRPr="007E613A">
        <w:rPr>
          <w:i/>
          <w:iCs/>
          <w:lang w:val="en-US"/>
        </w:rPr>
        <w:t xml:space="preserve"> are insufficient for the purposes of TACAP</w:t>
      </w:r>
      <w:r w:rsidR="00CB5FCC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and </w:t>
      </w:r>
      <w:r w:rsidR="00B17FE8">
        <w:rPr>
          <w:i/>
          <w:iCs/>
          <w:lang w:val="en-US"/>
        </w:rPr>
        <w:t>refusing</w:t>
      </w:r>
      <w:r>
        <w:rPr>
          <w:i/>
          <w:iCs/>
          <w:lang w:val="en-US"/>
        </w:rPr>
        <w:t xml:space="preserve"> to grant amnesty</w:t>
      </w:r>
      <w:r w:rsidR="001E64D9">
        <w:rPr>
          <w:i/>
          <w:iCs/>
          <w:lang w:val="en-US"/>
        </w:rPr>
        <w:t>.</w:t>
      </w:r>
    </w:p>
    <w:p w14:paraId="16FEF872" w14:textId="77777777" w:rsidR="002B0247" w:rsidRPr="00DD59DF" w:rsidRDefault="002B0247" w:rsidP="002B0247">
      <w:pPr>
        <w:rPr>
          <w:color w:val="1F3864" w:themeColor="accent1" w:themeShade="80"/>
          <w:lang w:val="en-GB"/>
        </w:rPr>
      </w:pPr>
    </w:p>
    <w:p w14:paraId="11E408D6" w14:textId="58908EF0" w:rsidR="002B0247" w:rsidRDefault="002B0247" w:rsidP="005F04BE">
      <w:pPr>
        <w:rPr>
          <w:b/>
          <w:bCs/>
          <w:color w:val="1F3864" w:themeColor="accent1" w:themeShade="80"/>
          <w:sz w:val="32"/>
          <w:szCs w:val="32"/>
          <w:lang w:val="en-GB"/>
        </w:rPr>
      </w:pPr>
    </w:p>
    <w:p w14:paraId="2C09C4C0" w14:textId="77777777" w:rsidR="005F04BE" w:rsidRDefault="005F04BE" w:rsidP="00234CB7">
      <w:pPr>
        <w:spacing w:after="120"/>
        <w:rPr>
          <w:b/>
          <w:bCs/>
          <w:color w:val="1F3864" w:themeColor="accent1" w:themeShade="80"/>
          <w:sz w:val="32"/>
          <w:szCs w:val="32"/>
          <w:lang w:val="en-GB"/>
        </w:rPr>
      </w:pPr>
    </w:p>
    <w:p w14:paraId="235C9020" w14:textId="77777777" w:rsidR="00E5383D" w:rsidRDefault="00E477D6">
      <w:pPr>
        <w:rPr>
          <w:lang w:val="en-GB"/>
        </w:rPr>
        <w:sectPr w:rsidR="00E5383D" w:rsidSect="003248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8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lang w:val="en-GB"/>
        </w:rPr>
        <w:br w:type="page"/>
      </w:r>
    </w:p>
    <w:p w14:paraId="4498E560" w14:textId="69EE7BA5" w:rsidR="00D7091E" w:rsidRPr="00E121FC" w:rsidRDefault="00E121FC" w:rsidP="00E121FC">
      <w:pPr>
        <w:jc w:val="right"/>
        <w:rPr>
          <w:b/>
          <w:bCs/>
          <w:sz w:val="36"/>
          <w:szCs w:val="36"/>
          <w:lang w:val="en-GB"/>
        </w:rPr>
      </w:pPr>
      <w:r w:rsidRPr="00E121FC">
        <w:rPr>
          <w:b/>
          <w:bCs/>
          <w:sz w:val="36"/>
          <w:szCs w:val="36"/>
          <w:lang w:val="en-GB"/>
        </w:rPr>
        <w:lastRenderedPageBreak/>
        <w:t>ANNEX 5</w:t>
      </w:r>
    </w:p>
    <w:p w14:paraId="4F4EED09" w14:textId="77777777" w:rsidR="00D7091E" w:rsidRDefault="00D7091E" w:rsidP="00D7091E">
      <w:pPr>
        <w:rPr>
          <w:lang w:val="en-GB"/>
        </w:rPr>
      </w:pPr>
    </w:p>
    <w:p w14:paraId="68C513F2" w14:textId="77777777" w:rsidR="00D7091E" w:rsidRDefault="00D7091E" w:rsidP="00D7091E">
      <w:pPr>
        <w:rPr>
          <w:lang w:val="en-GB"/>
        </w:rPr>
      </w:pPr>
    </w:p>
    <w:p w14:paraId="35AD6ACD" w14:textId="77777777" w:rsidR="00D7091E" w:rsidRDefault="00D7091E" w:rsidP="00D7091E">
      <w:pPr>
        <w:rPr>
          <w:lang w:val="en-GB"/>
        </w:rPr>
      </w:pPr>
    </w:p>
    <w:p w14:paraId="35170652" w14:textId="77777777" w:rsidR="00D7091E" w:rsidRDefault="00D7091E" w:rsidP="00D7091E">
      <w:pPr>
        <w:rPr>
          <w:lang w:val="en-GB"/>
        </w:rPr>
      </w:pPr>
    </w:p>
    <w:p w14:paraId="551D34A1" w14:textId="77777777" w:rsidR="00D7091E" w:rsidRDefault="00D7091E" w:rsidP="00D7091E">
      <w:pPr>
        <w:rPr>
          <w:lang w:val="en-GB"/>
        </w:rPr>
      </w:pPr>
    </w:p>
    <w:p w14:paraId="22ED9A16" w14:textId="77777777" w:rsidR="00D7091E" w:rsidRDefault="00D7091E" w:rsidP="00D7091E">
      <w:pPr>
        <w:rPr>
          <w:lang w:val="en-GB"/>
        </w:rPr>
      </w:pPr>
    </w:p>
    <w:p w14:paraId="120A6097" w14:textId="77777777" w:rsidR="00D7091E" w:rsidRPr="00D7091E" w:rsidRDefault="00D7091E" w:rsidP="00D7091E">
      <w:pPr>
        <w:rPr>
          <w:lang w:val="en-GB"/>
        </w:rPr>
      </w:pPr>
    </w:p>
    <w:p w14:paraId="7D6CBE1F" w14:textId="77777777" w:rsidR="00411F48" w:rsidRPr="007E613A" w:rsidRDefault="00411F48" w:rsidP="00234CB7">
      <w:pPr>
        <w:spacing w:after="120"/>
        <w:rPr>
          <w:lang w:val="en-GB"/>
        </w:rPr>
      </w:pPr>
    </w:p>
    <w:p w14:paraId="36B3DD13" w14:textId="1667C473" w:rsidR="002B0247" w:rsidRPr="007E613A" w:rsidRDefault="005F04BE" w:rsidP="002B0247">
      <w:pPr>
        <w:pStyle w:val="Heading2"/>
        <w:spacing w:after="120"/>
        <w:rPr>
          <w:b/>
          <w:bCs/>
          <w:sz w:val="36"/>
          <w:szCs w:val="36"/>
          <w:lang w:val="en-GB"/>
        </w:rPr>
      </w:pPr>
      <w:r w:rsidRPr="007E613A">
        <w:rPr>
          <w:b/>
          <w:bCs/>
          <w:color w:val="1F3864" w:themeColor="accent1" w:themeShade="80"/>
          <w:sz w:val="36"/>
          <w:szCs w:val="36"/>
          <w:lang w:val="en-GB"/>
        </w:rPr>
        <w:t>[</w:t>
      </w:r>
      <w:r w:rsidRPr="007E613A">
        <w:rPr>
          <w:b/>
          <w:bCs/>
          <w:color w:val="EE0000"/>
          <w:sz w:val="36"/>
          <w:szCs w:val="36"/>
          <w:lang w:val="en-GB"/>
        </w:rPr>
        <w:t>Template</w:t>
      </w:r>
      <w:r w:rsidRPr="007E613A">
        <w:rPr>
          <w:b/>
          <w:bCs/>
          <w:color w:val="1F3864" w:themeColor="accent1" w:themeShade="80"/>
          <w:sz w:val="36"/>
          <w:szCs w:val="36"/>
          <w:lang w:val="en-GB"/>
        </w:rPr>
        <w:t xml:space="preserve">] </w:t>
      </w:r>
      <w:r w:rsidR="002B0247" w:rsidRPr="007E613A">
        <w:rPr>
          <w:b/>
          <w:bCs/>
          <w:color w:val="1F3864" w:themeColor="accent1" w:themeShade="80"/>
          <w:sz w:val="36"/>
          <w:szCs w:val="36"/>
          <w:lang w:val="en-GB"/>
        </w:rPr>
        <w:t xml:space="preserve">Undertakings to the Competition Commission </w:t>
      </w:r>
    </w:p>
    <w:p w14:paraId="2D34F752" w14:textId="77777777" w:rsidR="002B0247" w:rsidRPr="00A85F97" w:rsidRDefault="002B0247" w:rsidP="00FC4681">
      <w:pPr>
        <w:spacing w:before="240" w:after="120"/>
        <w:rPr>
          <w:sz w:val="24"/>
          <w:szCs w:val="24"/>
          <w:lang w:val="en-GB"/>
        </w:rPr>
      </w:pPr>
      <w:r w:rsidRPr="460366F1">
        <w:rPr>
          <w:sz w:val="24"/>
          <w:szCs w:val="24"/>
          <w:lang w:val="en-GB"/>
        </w:rPr>
        <w:t>Undertakings provided by [</w:t>
      </w:r>
      <w:r w:rsidRPr="00FC4681">
        <w:rPr>
          <w:b/>
          <w:bCs/>
          <w:i/>
          <w:iCs/>
          <w:sz w:val="24"/>
          <w:szCs w:val="24"/>
          <w:highlight w:val="yellow"/>
          <w:lang w:val="en-GB"/>
        </w:rPr>
        <w:t>Name of Applicant</w:t>
      </w:r>
      <w:r w:rsidRPr="00FC4681">
        <w:rPr>
          <w:b/>
          <w:bCs/>
          <w:sz w:val="24"/>
          <w:szCs w:val="24"/>
          <w:lang w:val="en-GB"/>
        </w:rPr>
        <w:t>]</w:t>
      </w:r>
      <w:r w:rsidRPr="460366F1">
        <w:rPr>
          <w:sz w:val="24"/>
          <w:szCs w:val="24"/>
          <w:lang w:val="en-GB"/>
        </w:rPr>
        <w:t xml:space="preserve"> to the Competition Commission,</w:t>
      </w:r>
    </w:p>
    <w:p w14:paraId="6400E153" w14:textId="77777777" w:rsidR="002B0247" w:rsidRPr="00A85F97" w:rsidRDefault="002B0247" w:rsidP="002B0247">
      <w:pPr>
        <w:spacing w:after="120"/>
        <w:rPr>
          <w:sz w:val="24"/>
          <w:szCs w:val="24"/>
          <w:lang w:val="en-GB"/>
        </w:rPr>
      </w:pPr>
      <w:r w:rsidRPr="460366F1">
        <w:rPr>
          <w:sz w:val="24"/>
          <w:szCs w:val="24"/>
          <w:lang w:val="en-GB"/>
        </w:rPr>
        <w:t>Pursuant to section 63 of the Competition Act,</w:t>
      </w:r>
    </w:p>
    <w:p w14:paraId="10D11382" w14:textId="10D70E5A" w:rsidR="002B0247" w:rsidRPr="00A85F97" w:rsidRDefault="002B0247" w:rsidP="002B0247">
      <w:pPr>
        <w:spacing w:after="120"/>
        <w:rPr>
          <w:sz w:val="24"/>
          <w:szCs w:val="24"/>
          <w:lang w:val="en-GB"/>
        </w:rPr>
      </w:pPr>
      <w:r w:rsidRPr="460366F1">
        <w:rPr>
          <w:sz w:val="24"/>
          <w:szCs w:val="24"/>
          <w:lang w:val="en-GB"/>
        </w:rPr>
        <w:t>In connection with an Application for TACAP dated [</w:t>
      </w:r>
      <w:r w:rsidRPr="00FC4681">
        <w:rPr>
          <w:i/>
          <w:iCs/>
          <w:sz w:val="24"/>
          <w:szCs w:val="24"/>
          <w:highlight w:val="yellow"/>
          <w:lang w:val="en-GB"/>
        </w:rPr>
        <w:t>date/month</w:t>
      </w:r>
      <w:r w:rsidRPr="00FC4681">
        <w:rPr>
          <w:sz w:val="24"/>
          <w:szCs w:val="24"/>
          <w:highlight w:val="yellow"/>
          <w:lang w:val="en-GB"/>
        </w:rPr>
        <w:t>/2026</w:t>
      </w:r>
      <w:r w:rsidRPr="460366F1">
        <w:rPr>
          <w:sz w:val="24"/>
          <w:szCs w:val="24"/>
          <w:lang w:val="en-GB"/>
        </w:rPr>
        <w:t>] and submitted to the Competition Commission pursuant to the “</w:t>
      </w:r>
      <w:r w:rsidRPr="2BFE0F25">
        <w:rPr>
          <w:i/>
          <w:iCs/>
          <w:sz w:val="24"/>
          <w:szCs w:val="24"/>
          <w:lang w:val="en-GB"/>
        </w:rPr>
        <w:t>Competition Commission (Trade Association and Cooperatives Amnesty Programme) Regulations 2026 (GN No 53 of 2026)”</w:t>
      </w:r>
    </w:p>
    <w:p w14:paraId="3FE61A59" w14:textId="77777777" w:rsidR="002B0247" w:rsidRPr="00A85F97" w:rsidRDefault="002B0247" w:rsidP="002B0247">
      <w:pPr>
        <w:rPr>
          <w:lang w:val="en-GB"/>
        </w:rPr>
      </w:pPr>
    </w:p>
    <w:p w14:paraId="0B691277" w14:textId="550B458A" w:rsidR="00C0138F" w:rsidRPr="00390560" w:rsidRDefault="460366F1" w:rsidP="00015344">
      <w:pPr>
        <w:pStyle w:val="Heading1"/>
        <w:rPr>
          <w:sz w:val="24"/>
          <w:szCs w:val="24"/>
          <w:lang w:val="en-GB"/>
        </w:rPr>
      </w:pPr>
      <w:r w:rsidRPr="460366F1">
        <w:rPr>
          <w:sz w:val="24"/>
          <w:szCs w:val="24"/>
          <w:lang w:val="en-GB"/>
        </w:rPr>
        <w:t>[</w:t>
      </w:r>
      <w:r w:rsidRPr="460366F1">
        <w:rPr>
          <w:i/>
          <w:iCs/>
          <w:sz w:val="24"/>
          <w:szCs w:val="24"/>
          <w:lang w:val="en-GB"/>
        </w:rPr>
        <w:t xml:space="preserve">Date </w:t>
      </w:r>
      <w:r w:rsidR="00E86ECA" w:rsidRPr="460366F1">
        <w:rPr>
          <w:i/>
          <w:iCs/>
          <w:sz w:val="24"/>
          <w:szCs w:val="24"/>
          <w:lang w:val="en-GB"/>
        </w:rPr>
        <w:t>of</w:t>
      </w:r>
      <w:r w:rsidR="00E86ECA">
        <w:rPr>
          <w:i/>
          <w:iCs/>
          <w:sz w:val="24"/>
          <w:szCs w:val="24"/>
          <w:lang w:val="en-GB"/>
        </w:rPr>
        <w:t xml:space="preserve"> </w:t>
      </w:r>
      <w:r w:rsidR="00E86ECA" w:rsidRPr="460366F1">
        <w:rPr>
          <w:i/>
          <w:iCs/>
          <w:sz w:val="24"/>
          <w:szCs w:val="24"/>
          <w:lang w:val="en-GB"/>
        </w:rPr>
        <w:t>Undertakings</w:t>
      </w:r>
      <w:r w:rsidRPr="460366F1">
        <w:rPr>
          <w:sz w:val="24"/>
          <w:szCs w:val="24"/>
          <w:lang w:val="en-GB"/>
        </w:rPr>
        <w:t>]</w:t>
      </w:r>
      <w:r w:rsidR="00C0138F" w:rsidRPr="460366F1">
        <w:rPr>
          <w:sz w:val="24"/>
          <w:szCs w:val="24"/>
          <w:lang w:val="en-GB"/>
        </w:rPr>
        <w:br w:type="page"/>
      </w:r>
    </w:p>
    <w:p w14:paraId="367BEBFF" w14:textId="3F64D007" w:rsidR="00D94DDA" w:rsidRPr="00D94DDA" w:rsidRDefault="0074175F" w:rsidP="00D94DDA">
      <w:pPr>
        <w:pStyle w:val="Heading2"/>
        <w:numPr>
          <w:ilvl w:val="0"/>
          <w:numId w:val="13"/>
        </w:numPr>
        <w:rPr>
          <w:color w:val="1F3864" w:themeColor="accent1" w:themeShade="80"/>
          <w:lang w:val="en-GB"/>
        </w:rPr>
      </w:pPr>
      <w:r>
        <w:rPr>
          <w:color w:val="1F3864" w:themeColor="accent1" w:themeShade="80"/>
          <w:lang w:val="en-GB"/>
        </w:rPr>
        <w:lastRenderedPageBreak/>
        <w:t>Statement of Facts</w:t>
      </w:r>
    </w:p>
    <w:p w14:paraId="7D18385B" w14:textId="1DAE93BE" w:rsidR="0074175F" w:rsidRPr="007E613A" w:rsidRDefault="0074175F" w:rsidP="6A94B49A">
      <w:pPr>
        <w:pStyle w:val="Heading3"/>
        <w:numPr>
          <w:ilvl w:val="0"/>
          <w:numId w:val="4"/>
        </w:numPr>
        <w:spacing w:before="240" w:after="120"/>
        <w:ind w:left="1066"/>
        <w:rPr>
          <w:lang w:val="en-GB"/>
        </w:rPr>
      </w:pPr>
      <w:r>
        <w:rPr>
          <w:lang w:val="en-GB"/>
        </w:rPr>
        <w:t>Introduction</w:t>
      </w:r>
    </w:p>
    <w:p w14:paraId="0E425397" w14:textId="4B3B7E5B" w:rsidR="00A3590B" w:rsidRDefault="5EAD1898" w:rsidP="74645C54">
      <w:pPr>
        <w:pStyle w:val="ListParagraph"/>
        <w:numPr>
          <w:ilvl w:val="1"/>
          <w:numId w:val="15"/>
        </w:numPr>
        <w:spacing w:line="264" w:lineRule="auto"/>
        <w:contextualSpacing w:val="0"/>
        <w:jc w:val="both"/>
        <w:rPr>
          <w:lang w:val="en-GB"/>
        </w:rPr>
      </w:pPr>
      <w:r w:rsidRPr="5EAD1898">
        <w:rPr>
          <w:lang w:val="en-GB"/>
        </w:rPr>
        <w:t>On</w:t>
      </w:r>
      <w:r w:rsidR="00C0138F" w:rsidRPr="00A3590B">
        <w:rPr>
          <w:lang w:val="en-GB"/>
        </w:rPr>
        <w:t xml:space="preserve"> </w:t>
      </w:r>
      <w:r w:rsidR="00C0138F" w:rsidRPr="007E613A">
        <w:rPr>
          <w:i/>
          <w:iCs/>
          <w:lang w:val="en-GB"/>
        </w:rPr>
        <w:t>[</w:t>
      </w:r>
      <w:r w:rsidR="00C0138F" w:rsidRPr="360E407B">
        <w:rPr>
          <w:i/>
          <w:iCs/>
          <w:highlight w:val="yellow"/>
          <w:lang w:val="en-GB"/>
        </w:rPr>
        <w:t>date/month</w:t>
      </w:r>
      <w:r w:rsidR="00C0138F" w:rsidRPr="007E613A">
        <w:rPr>
          <w:i/>
          <w:iCs/>
          <w:highlight w:val="yellow"/>
          <w:lang w:val="en-GB"/>
        </w:rPr>
        <w:t>/</w:t>
      </w:r>
      <w:r w:rsidR="00BD718C" w:rsidRPr="00A3590B">
        <w:rPr>
          <w:lang w:val="en-GB"/>
        </w:rPr>
        <w:t>2026</w:t>
      </w:r>
      <w:r w:rsidR="00C0138F" w:rsidRPr="00A3590B">
        <w:rPr>
          <w:lang w:val="en-GB"/>
        </w:rPr>
        <w:t>]</w:t>
      </w:r>
      <w:r w:rsidR="0074175F" w:rsidRPr="00A3590B">
        <w:rPr>
          <w:lang w:val="en-GB"/>
        </w:rPr>
        <w:t>, [</w:t>
      </w:r>
      <w:r w:rsidR="0074175F" w:rsidRPr="007E613A">
        <w:rPr>
          <w:i/>
          <w:iCs/>
          <w:highlight w:val="yellow"/>
          <w:lang w:val="en-GB"/>
        </w:rPr>
        <w:t>Name of Applicant</w:t>
      </w:r>
      <w:r w:rsidR="0074175F" w:rsidRPr="00A3590B">
        <w:rPr>
          <w:lang w:val="en-GB"/>
        </w:rPr>
        <w:t>] having its registered address at [</w:t>
      </w:r>
      <w:r w:rsidR="0074175F" w:rsidRPr="007E613A">
        <w:rPr>
          <w:i/>
          <w:iCs/>
          <w:highlight w:val="yellow"/>
          <w:lang w:val="en-GB"/>
        </w:rPr>
        <w:t xml:space="preserve">state </w:t>
      </w:r>
      <w:r w:rsidR="000D69ED" w:rsidRPr="007E613A">
        <w:rPr>
          <w:i/>
          <w:iCs/>
          <w:highlight w:val="yellow"/>
          <w:lang w:val="en-GB"/>
        </w:rPr>
        <w:t xml:space="preserve">the registered </w:t>
      </w:r>
      <w:r w:rsidR="0074175F" w:rsidRPr="007E613A">
        <w:rPr>
          <w:i/>
          <w:iCs/>
          <w:highlight w:val="yellow"/>
          <w:lang w:val="en-GB"/>
        </w:rPr>
        <w:t>address here</w:t>
      </w:r>
      <w:r w:rsidR="0074175F" w:rsidRPr="00A3590B">
        <w:rPr>
          <w:lang w:val="en-GB"/>
        </w:rPr>
        <w:t xml:space="preserve">] </w:t>
      </w:r>
      <w:r w:rsidR="009720A9">
        <w:rPr>
          <w:lang w:val="en-GB"/>
        </w:rPr>
        <w:t>[</w:t>
      </w:r>
      <w:r w:rsidR="0074175F" w:rsidRPr="00FC4681">
        <w:rPr>
          <w:highlight w:val="yellow"/>
          <w:lang w:val="en-GB"/>
        </w:rPr>
        <w:t>filed</w:t>
      </w:r>
      <w:r w:rsidR="00A3590B" w:rsidRPr="00FC4681">
        <w:rPr>
          <w:highlight w:val="yellow"/>
          <w:lang w:val="en-GB"/>
        </w:rPr>
        <w:t xml:space="preserve"> </w:t>
      </w:r>
      <w:r w:rsidR="00A3590B" w:rsidRPr="00FC4681">
        <w:rPr>
          <w:b/>
          <w:bCs/>
          <w:highlight w:val="yellow"/>
          <w:lang w:val="en-GB"/>
        </w:rPr>
        <w:t>OR</w:t>
      </w:r>
      <w:r w:rsidR="00A3590B" w:rsidRPr="00FC4681">
        <w:rPr>
          <w:highlight w:val="yellow"/>
          <w:lang w:val="en-GB"/>
        </w:rPr>
        <w:t xml:space="preserve"> caused to be filed</w:t>
      </w:r>
      <w:r w:rsidR="009720A9">
        <w:rPr>
          <w:lang w:val="en-GB"/>
        </w:rPr>
        <w:t>]</w:t>
      </w:r>
      <w:r w:rsidR="0074175F" w:rsidRPr="00A3590B">
        <w:rPr>
          <w:lang w:val="en-GB"/>
        </w:rPr>
        <w:t xml:space="preserve"> an application for amnesty (hereinafter </w:t>
      </w:r>
      <w:r w:rsidR="000D69ED" w:rsidRPr="00A3590B">
        <w:rPr>
          <w:lang w:val="en-GB"/>
        </w:rPr>
        <w:t>the ‘</w:t>
      </w:r>
      <w:r w:rsidR="0074175F" w:rsidRPr="00A3590B">
        <w:rPr>
          <w:lang w:val="en-GB"/>
        </w:rPr>
        <w:t xml:space="preserve">Application’) with the Competition Commission </w:t>
      </w:r>
      <w:r w:rsidR="00C0138F" w:rsidRPr="00A3590B">
        <w:rPr>
          <w:lang w:val="en-GB"/>
        </w:rPr>
        <w:t xml:space="preserve">pursuant to </w:t>
      </w:r>
      <w:r w:rsidR="006D4B08" w:rsidRPr="00A3590B">
        <w:rPr>
          <w:lang w:val="en-GB"/>
        </w:rPr>
        <w:t xml:space="preserve">the Competition Commission (Trade Association and Cooperatives Amnesty Programme) Regulations 2026 </w:t>
      </w:r>
      <w:r w:rsidR="00BF5C63" w:rsidRPr="00A3590B">
        <w:rPr>
          <w:lang w:val="en-GB"/>
        </w:rPr>
        <w:t>(here</w:t>
      </w:r>
      <w:r w:rsidR="0074175F" w:rsidRPr="00A3590B">
        <w:rPr>
          <w:lang w:val="en-GB"/>
        </w:rPr>
        <w:t>in</w:t>
      </w:r>
      <w:r w:rsidR="00BF5C63" w:rsidRPr="00A3590B">
        <w:rPr>
          <w:lang w:val="en-GB"/>
        </w:rPr>
        <w:t>after referred to as ‘the</w:t>
      </w:r>
      <w:r w:rsidR="001346DA" w:rsidRPr="00A3590B">
        <w:rPr>
          <w:lang w:val="en-GB"/>
        </w:rPr>
        <w:t xml:space="preserve"> TACAP</w:t>
      </w:r>
      <w:r w:rsidR="00BF5C63" w:rsidRPr="00A3590B">
        <w:rPr>
          <w:lang w:val="en-GB"/>
        </w:rPr>
        <w:t xml:space="preserve"> Regulations’)</w:t>
      </w:r>
      <w:r w:rsidR="0074175F" w:rsidRPr="00A3590B">
        <w:rPr>
          <w:lang w:val="en-GB"/>
        </w:rPr>
        <w:t>.</w:t>
      </w:r>
      <w:r w:rsidR="002D01BF" w:rsidRPr="00A3590B">
        <w:rPr>
          <w:lang w:val="en-GB"/>
        </w:rPr>
        <w:t xml:space="preserve"> </w:t>
      </w:r>
    </w:p>
    <w:p w14:paraId="6DD2DACF" w14:textId="446B43A6" w:rsidR="000D69ED" w:rsidRPr="007E613A" w:rsidRDefault="000D69ED" w:rsidP="007E613A">
      <w:pPr>
        <w:pStyle w:val="ListParagraph"/>
        <w:numPr>
          <w:ilvl w:val="1"/>
          <w:numId w:val="15"/>
        </w:numPr>
        <w:spacing w:line="264" w:lineRule="auto"/>
        <w:ind w:left="708"/>
        <w:contextualSpacing w:val="0"/>
        <w:jc w:val="both"/>
        <w:rPr>
          <w:lang w:val="en-GB"/>
        </w:rPr>
      </w:pPr>
      <w:r w:rsidRPr="00A3590B">
        <w:rPr>
          <w:lang w:val="en-GB"/>
        </w:rPr>
        <w:t xml:space="preserve">The Application further binds </w:t>
      </w:r>
      <w:r w:rsidRPr="00A3590B">
        <w:rPr>
          <w:lang w:val="en-US"/>
        </w:rPr>
        <w:t xml:space="preserve">the hereunder listed </w:t>
      </w:r>
      <w:r w:rsidRPr="007E613A">
        <w:rPr>
          <w:lang w:val="en-US"/>
        </w:rPr>
        <w:t xml:space="preserve">consenting members of </w:t>
      </w:r>
      <w:r w:rsidR="001A795D" w:rsidRPr="00A3590B">
        <w:rPr>
          <w:lang w:val="en-GB"/>
        </w:rPr>
        <w:t>[</w:t>
      </w:r>
      <w:r w:rsidR="001A795D" w:rsidRPr="00F724E1">
        <w:rPr>
          <w:i/>
          <w:iCs/>
          <w:highlight w:val="yellow"/>
          <w:lang w:val="en-GB"/>
        </w:rPr>
        <w:t>Name of Applicant</w:t>
      </w:r>
      <w:r w:rsidR="001A795D" w:rsidRPr="00A3590B">
        <w:rPr>
          <w:lang w:val="en-GB"/>
        </w:rPr>
        <w:t>]</w:t>
      </w:r>
      <w:r w:rsidRPr="007E613A">
        <w:rPr>
          <w:lang w:val="en-US"/>
        </w:rPr>
        <w:t>:</w:t>
      </w:r>
    </w:p>
    <w:p w14:paraId="2BF98066" w14:textId="370E271D" w:rsidR="000D69ED" w:rsidRPr="00FC4681" w:rsidRDefault="000D69ED" w:rsidP="00FC4681">
      <w:pPr>
        <w:spacing w:after="240" w:line="264" w:lineRule="auto"/>
        <w:ind w:left="720"/>
        <w:jc w:val="both"/>
        <w:rPr>
          <w:i/>
          <w:iCs/>
          <w:highlight w:val="yellow"/>
          <w:lang w:val="en-GB"/>
        </w:rPr>
      </w:pPr>
      <w:r w:rsidRPr="00FC4681">
        <w:rPr>
          <w:i/>
          <w:iCs/>
          <w:highlight w:val="yellow"/>
          <w:lang w:val="en-GB"/>
        </w:rPr>
        <w:t>[List of consenting members, where applicable]</w:t>
      </w:r>
    </w:p>
    <w:p w14:paraId="6B5C35BE" w14:textId="45D8E050" w:rsidR="000D69ED" w:rsidRPr="00A3590B" w:rsidRDefault="00603792" w:rsidP="007E613A">
      <w:pPr>
        <w:pStyle w:val="ListParagraph"/>
        <w:numPr>
          <w:ilvl w:val="1"/>
          <w:numId w:val="15"/>
        </w:numPr>
        <w:spacing w:line="264" w:lineRule="auto"/>
        <w:ind w:left="708"/>
        <w:contextualSpacing w:val="0"/>
        <w:jc w:val="both"/>
        <w:rPr>
          <w:lang w:val="en-GB"/>
        </w:rPr>
      </w:pPr>
      <w:r w:rsidRPr="00A3590B">
        <w:rPr>
          <w:lang w:val="en-GB"/>
        </w:rPr>
        <w:t>[</w:t>
      </w:r>
      <w:r w:rsidRPr="00F724E1">
        <w:rPr>
          <w:i/>
          <w:iCs/>
          <w:highlight w:val="yellow"/>
          <w:lang w:val="en-GB"/>
        </w:rPr>
        <w:t>Name of Applicant</w:t>
      </w:r>
      <w:r w:rsidRPr="00A3590B">
        <w:rPr>
          <w:lang w:val="en-GB"/>
        </w:rPr>
        <w:t>]</w:t>
      </w:r>
      <w:r w:rsidR="008C5A1D">
        <w:rPr>
          <w:lang w:val="en-GB"/>
        </w:rPr>
        <w:t xml:space="preserve"> </w:t>
      </w:r>
      <w:r w:rsidR="000D69ED" w:rsidRPr="007E613A">
        <w:rPr>
          <w:lang w:val="en-GB"/>
        </w:rPr>
        <w:t>acknowledges the c</w:t>
      </w:r>
      <w:r w:rsidR="000A6D5C">
        <w:rPr>
          <w:lang w:val="en-GB"/>
        </w:rPr>
        <w:t>ompetition c</w:t>
      </w:r>
      <w:r w:rsidR="000D69ED" w:rsidRPr="5E023535">
        <w:rPr>
          <w:lang w:val="en-GB"/>
        </w:rPr>
        <w:t xml:space="preserve">oncerns that may arise under the Competition Act 2007 (the ‘Act’) in relation to the conduct(s) disclosed in its </w:t>
      </w:r>
      <w:proofErr w:type="gramStart"/>
      <w:r w:rsidR="000D69ED" w:rsidRPr="5E023535">
        <w:rPr>
          <w:lang w:val="en-GB"/>
        </w:rPr>
        <w:t>Application</w:t>
      </w:r>
      <w:proofErr w:type="gramEnd"/>
      <w:r w:rsidR="00A3590B">
        <w:rPr>
          <w:lang w:val="en-GB"/>
        </w:rPr>
        <w:t xml:space="preserve"> </w:t>
      </w:r>
      <w:r w:rsidR="000D69ED">
        <w:rPr>
          <w:lang w:val="en-GB"/>
        </w:rPr>
        <w:t>(hereinafter the ‘reported conducts’).</w:t>
      </w:r>
    </w:p>
    <w:p w14:paraId="614DCA31" w14:textId="037737B1" w:rsidR="0074175F" w:rsidRDefault="0074175F" w:rsidP="00A3590B">
      <w:pPr>
        <w:pStyle w:val="ListParagraph"/>
        <w:numPr>
          <w:ilvl w:val="1"/>
          <w:numId w:val="15"/>
        </w:numPr>
        <w:spacing w:line="264" w:lineRule="auto"/>
        <w:contextualSpacing w:val="0"/>
        <w:jc w:val="both"/>
        <w:rPr>
          <w:lang w:val="en-GB"/>
        </w:rPr>
      </w:pPr>
      <w:r>
        <w:rPr>
          <w:lang w:val="en-GB"/>
        </w:rPr>
        <w:t xml:space="preserve">Pursuant to </w:t>
      </w:r>
      <w:r w:rsidR="008E1772">
        <w:rPr>
          <w:lang w:val="en-GB"/>
        </w:rPr>
        <w:t>Regulation</w:t>
      </w:r>
      <w:r>
        <w:rPr>
          <w:lang w:val="en-GB"/>
        </w:rPr>
        <w:t xml:space="preserve"> 7(1)(d) of the TACAP Regulations and in accordance with </w:t>
      </w:r>
      <w:r w:rsidR="49AF4A24" w:rsidRPr="49AF4A24">
        <w:rPr>
          <w:lang w:val="en-GB"/>
        </w:rPr>
        <w:t>section</w:t>
      </w:r>
      <w:r>
        <w:rPr>
          <w:lang w:val="en-GB"/>
        </w:rPr>
        <w:t xml:space="preserve"> 63 of the </w:t>
      </w:r>
      <w:r w:rsidR="00A3590B">
        <w:rPr>
          <w:lang w:val="en-GB"/>
        </w:rPr>
        <w:t>Act</w:t>
      </w:r>
      <w:r>
        <w:rPr>
          <w:lang w:val="en-GB"/>
        </w:rPr>
        <w:t xml:space="preserve">, </w:t>
      </w:r>
      <w:r w:rsidR="0050774B" w:rsidRPr="00A3590B">
        <w:rPr>
          <w:lang w:val="en-GB"/>
        </w:rPr>
        <w:t>[</w:t>
      </w:r>
      <w:r w:rsidR="0050774B" w:rsidRPr="00F724E1">
        <w:rPr>
          <w:i/>
          <w:iCs/>
          <w:highlight w:val="yellow"/>
          <w:lang w:val="en-GB"/>
        </w:rPr>
        <w:t>Name of Applicant</w:t>
      </w:r>
      <w:r w:rsidR="0050774B" w:rsidRPr="00A3590B">
        <w:rPr>
          <w:lang w:val="en-GB"/>
        </w:rPr>
        <w:t>]</w:t>
      </w:r>
      <w:r w:rsidR="0063464F">
        <w:rPr>
          <w:lang w:val="en-GB"/>
        </w:rPr>
        <w:t xml:space="preserve"> </w:t>
      </w:r>
      <w:r w:rsidR="000D69ED" w:rsidRPr="0016760E">
        <w:rPr>
          <w:lang w:val="en-GB"/>
        </w:rPr>
        <w:t xml:space="preserve">and its consenting members </w:t>
      </w:r>
      <w:r w:rsidR="000D69ED">
        <w:rPr>
          <w:lang w:val="en-GB"/>
        </w:rPr>
        <w:t xml:space="preserve">herewith propose the present undertakings (the ‘Proposed Undertakings’) </w:t>
      </w:r>
      <w:r w:rsidR="000D69ED" w:rsidRPr="000D69ED">
        <w:rPr>
          <w:lang w:val="en-GB"/>
        </w:rPr>
        <w:t xml:space="preserve">to ensure that </w:t>
      </w:r>
      <w:r w:rsidR="00890D87" w:rsidRPr="00A3590B">
        <w:rPr>
          <w:lang w:val="en-GB"/>
        </w:rPr>
        <w:t>[</w:t>
      </w:r>
      <w:r w:rsidR="00890D87" w:rsidRPr="00F724E1">
        <w:rPr>
          <w:i/>
          <w:iCs/>
          <w:highlight w:val="yellow"/>
          <w:lang w:val="en-GB"/>
        </w:rPr>
        <w:t>Name of Applicant</w:t>
      </w:r>
      <w:r w:rsidR="00890D87" w:rsidRPr="00A3590B">
        <w:rPr>
          <w:lang w:val="en-GB"/>
        </w:rPr>
        <w:t>]</w:t>
      </w:r>
      <w:r w:rsidR="008B54C6">
        <w:rPr>
          <w:lang w:val="en-GB"/>
        </w:rPr>
        <w:t xml:space="preserve"> </w:t>
      </w:r>
      <w:r w:rsidR="000D69ED" w:rsidRPr="000D69ED">
        <w:rPr>
          <w:lang w:val="en-GB"/>
        </w:rPr>
        <w:t xml:space="preserve">and its consenting members </w:t>
      </w:r>
      <w:r w:rsidR="00036944">
        <w:rPr>
          <w:lang w:val="en-GB"/>
        </w:rPr>
        <w:t xml:space="preserve">satisfactorily </w:t>
      </w:r>
      <w:r w:rsidR="005F680D">
        <w:rPr>
          <w:lang w:val="en-GB"/>
        </w:rPr>
        <w:t xml:space="preserve">address </w:t>
      </w:r>
      <w:r w:rsidR="00544E30">
        <w:rPr>
          <w:lang w:val="en-GB"/>
        </w:rPr>
        <w:t>all the</w:t>
      </w:r>
      <w:r w:rsidR="005F680D">
        <w:rPr>
          <w:lang w:val="en-GB"/>
        </w:rPr>
        <w:t xml:space="preserve"> competition concerns</w:t>
      </w:r>
      <w:r w:rsidR="00E565B7">
        <w:rPr>
          <w:lang w:val="en-GB"/>
        </w:rPr>
        <w:t xml:space="preserve"> </w:t>
      </w:r>
      <w:r w:rsidR="00544E30">
        <w:rPr>
          <w:lang w:val="en-GB"/>
        </w:rPr>
        <w:t>that may arise</w:t>
      </w:r>
      <w:r w:rsidR="008B493C">
        <w:rPr>
          <w:lang w:val="en-GB"/>
        </w:rPr>
        <w:t xml:space="preserve"> from the reported conduct(s)</w:t>
      </w:r>
      <w:r w:rsidR="005F680D">
        <w:rPr>
          <w:lang w:val="en-GB"/>
        </w:rPr>
        <w:t xml:space="preserve">, </w:t>
      </w:r>
      <w:r w:rsidR="000D69ED" w:rsidRPr="000D69ED">
        <w:rPr>
          <w:lang w:val="en-GB"/>
        </w:rPr>
        <w:t>cease</w:t>
      </w:r>
      <w:r w:rsidR="00E565B7">
        <w:rPr>
          <w:lang w:val="en-GB"/>
        </w:rPr>
        <w:t xml:space="preserve"> </w:t>
      </w:r>
      <w:r w:rsidR="000D69ED" w:rsidRPr="000D69ED">
        <w:rPr>
          <w:lang w:val="en-GB"/>
        </w:rPr>
        <w:t>participation in the</w:t>
      </w:r>
      <w:r w:rsidR="000D69ED">
        <w:rPr>
          <w:lang w:val="en-GB"/>
        </w:rPr>
        <w:t xml:space="preserve"> reported conduct(s) </w:t>
      </w:r>
      <w:r w:rsidR="000D69ED" w:rsidRPr="000D69ED">
        <w:rPr>
          <w:lang w:val="en-GB"/>
        </w:rPr>
        <w:t>and ensure compliance with the</w:t>
      </w:r>
      <w:r w:rsidR="000D69ED">
        <w:rPr>
          <w:lang w:val="en-GB"/>
        </w:rPr>
        <w:t xml:space="preserve"> </w:t>
      </w:r>
      <w:r w:rsidR="000D69ED" w:rsidRPr="000D69ED">
        <w:rPr>
          <w:lang w:val="en-GB"/>
        </w:rPr>
        <w:t>Act going forward</w:t>
      </w:r>
      <w:r w:rsidR="000D69ED">
        <w:rPr>
          <w:lang w:val="en-GB"/>
        </w:rPr>
        <w:t>.</w:t>
      </w:r>
    </w:p>
    <w:p w14:paraId="08B84E66" w14:textId="0FA02CC3" w:rsidR="00E22F2A" w:rsidRDefault="00E22F2A" w:rsidP="007E613A">
      <w:pPr>
        <w:pStyle w:val="ListParagraph"/>
        <w:numPr>
          <w:ilvl w:val="1"/>
          <w:numId w:val="15"/>
        </w:numPr>
        <w:spacing w:line="264" w:lineRule="auto"/>
        <w:ind w:left="708"/>
        <w:contextualSpacing w:val="0"/>
        <w:jc w:val="both"/>
        <w:rPr>
          <w:lang w:val="en-GB"/>
        </w:rPr>
      </w:pPr>
      <w:r>
        <w:rPr>
          <w:lang w:val="en-GB"/>
        </w:rPr>
        <w:t xml:space="preserve">The Proposed Undertakings further bind </w:t>
      </w:r>
      <w:r w:rsidR="00404F5D" w:rsidRPr="00A3590B">
        <w:rPr>
          <w:lang w:val="en-GB"/>
        </w:rPr>
        <w:t>[</w:t>
      </w:r>
      <w:r w:rsidR="00404F5D" w:rsidRPr="00F724E1">
        <w:rPr>
          <w:i/>
          <w:iCs/>
          <w:highlight w:val="yellow"/>
          <w:lang w:val="en-GB"/>
        </w:rPr>
        <w:t>Name of Applicant</w:t>
      </w:r>
      <w:r w:rsidR="00404F5D" w:rsidRPr="00A3590B">
        <w:rPr>
          <w:lang w:val="en-GB"/>
        </w:rPr>
        <w:t>]</w:t>
      </w:r>
      <w:r>
        <w:rPr>
          <w:lang w:val="en-GB"/>
        </w:rPr>
        <w:t>, its consenting members</w:t>
      </w:r>
      <w:r w:rsidR="00A077BF">
        <w:rPr>
          <w:lang w:val="en-GB"/>
        </w:rPr>
        <w:t xml:space="preserve"> as well as future members of the Applicant</w:t>
      </w:r>
      <w:r w:rsidR="00184684">
        <w:rPr>
          <w:lang w:val="en-GB"/>
        </w:rPr>
        <w:t>.</w:t>
      </w:r>
      <w:r w:rsidR="00CD3FB2">
        <w:rPr>
          <w:lang w:val="en-GB"/>
        </w:rPr>
        <w:t xml:space="preserve">  </w:t>
      </w:r>
    </w:p>
    <w:p w14:paraId="76785A6B" w14:textId="054F31EA" w:rsidR="00A3590B" w:rsidRPr="00A3590B" w:rsidRDefault="00A3590B" w:rsidP="2AB3357B">
      <w:pPr>
        <w:pStyle w:val="Heading3"/>
        <w:numPr>
          <w:ilvl w:val="0"/>
          <w:numId w:val="4"/>
        </w:numPr>
        <w:spacing w:before="240" w:after="120" w:line="264" w:lineRule="auto"/>
        <w:ind w:left="1066"/>
        <w:jc w:val="both"/>
        <w:rPr>
          <w:lang w:val="en-GB"/>
        </w:rPr>
      </w:pPr>
      <w:r>
        <w:rPr>
          <w:lang w:val="en-GB"/>
        </w:rPr>
        <w:t>The Reported Conduct(s)</w:t>
      </w:r>
    </w:p>
    <w:p w14:paraId="0F5A029C" w14:textId="750B3FDE" w:rsidR="00AE0E48" w:rsidRDefault="00CF7EBC" w:rsidP="00FD3125">
      <w:pPr>
        <w:pStyle w:val="ListParagraph"/>
        <w:numPr>
          <w:ilvl w:val="1"/>
          <w:numId w:val="15"/>
        </w:numPr>
        <w:spacing w:after="0" w:line="264" w:lineRule="auto"/>
        <w:ind w:left="706"/>
        <w:contextualSpacing w:val="0"/>
        <w:jc w:val="both"/>
        <w:rPr>
          <w:lang w:val="en-GB"/>
        </w:rPr>
      </w:pPr>
      <w:r>
        <w:rPr>
          <w:lang w:val="en-GB"/>
        </w:rPr>
        <w:t xml:space="preserve">Pursuant to Regulation 7 of TACAP Regulations, </w:t>
      </w:r>
      <w:r w:rsidRPr="00A3590B">
        <w:rPr>
          <w:lang w:val="en-GB"/>
        </w:rPr>
        <w:t>[</w:t>
      </w:r>
      <w:r w:rsidRPr="00F724E1">
        <w:rPr>
          <w:i/>
          <w:iCs/>
          <w:highlight w:val="yellow"/>
          <w:lang w:val="en-GB"/>
        </w:rPr>
        <w:t>Name of Applicant</w:t>
      </w:r>
      <w:r w:rsidRPr="00A3590B">
        <w:rPr>
          <w:lang w:val="en-GB"/>
        </w:rPr>
        <w:t>]</w:t>
      </w:r>
      <w:r>
        <w:rPr>
          <w:lang w:val="en-GB"/>
        </w:rPr>
        <w:t xml:space="preserve"> </w:t>
      </w:r>
      <w:r w:rsidR="00230C63">
        <w:rPr>
          <w:lang w:val="en-GB"/>
        </w:rPr>
        <w:t>has</w:t>
      </w:r>
      <w:r>
        <w:rPr>
          <w:lang w:val="en-GB"/>
        </w:rPr>
        <w:t xml:space="preserve">, in its Application, </w:t>
      </w:r>
      <w:r w:rsidR="00230C63">
        <w:rPr>
          <w:lang w:val="en-GB"/>
        </w:rPr>
        <w:t xml:space="preserve">disclosed </w:t>
      </w:r>
      <w:r>
        <w:rPr>
          <w:lang w:val="en-GB"/>
        </w:rPr>
        <w:t>certain</w:t>
      </w:r>
      <w:r w:rsidR="00230C63">
        <w:rPr>
          <w:lang w:val="en-GB"/>
        </w:rPr>
        <w:t xml:space="preserve"> reported conduct</w:t>
      </w:r>
      <w:r w:rsidR="00C370DB">
        <w:rPr>
          <w:lang w:val="en-GB"/>
        </w:rPr>
        <w:t>(s)</w:t>
      </w:r>
      <w:r w:rsidR="00F8507F">
        <w:rPr>
          <w:lang w:val="en-GB"/>
        </w:rPr>
        <w:t xml:space="preserve"> </w:t>
      </w:r>
      <w:r w:rsidR="00C370DB">
        <w:rPr>
          <w:lang w:val="en-GB"/>
        </w:rPr>
        <w:t>involving</w:t>
      </w:r>
      <w:r w:rsidR="00F8507F">
        <w:rPr>
          <w:lang w:val="en-GB"/>
        </w:rPr>
        <w:t xml:space="preserve"> the participation of </w:t>
      </w:r>
      <w:r w:rsidR="001835E3">
        <w:rPr>
          <w:lang w:val="en-GB"/>
        </w:rPr>
        <w:t>all or some of the</w:t>
      </w:r>
      <w:r w:rsidR="00F8507F">
        <w:rPr>
          <w:lang w:val="en-GB"/>
        </w:rPr>
        <w:t xml:space="preserve"> consenting members</w:t>
      </w:r>
      <w:r w:rsidR="001835E3">
        <w:rPr>
          <w:lang w:val="en-GB"/>
        </w:rPr>
        <w:t xml:space="preserve"> and which </w:t>
      </w:r>
      <w:r>
        <w:rPr>
          <w:lang w:val="en-GB"/>
        </w:rPr>
        <w:t>[</w:t>
      </w:r>
      <w:r w:rsidR="00B03794" w:rsidRPr="00FD3125">
        <w:rPr>
          <w:highlight w:val="yellow"/>
          <w:lang w:val="en-GB"/>
        </w:rPr>
        <w:t>has</w:t>
      </w:r>
      <w:r w:rsidR="61ED2781" w:rsidRPr="00FD3125">
        <w:rPr>
          <w:highlight w:val="yellow"/>
          <w:lang w:val="en-GB"/>
        </w:rPr>
        <w:t>/</w:t>
      </w:r>
      <w:r w:rsidR="00B03794" w:rsidRPr="00FD3125">
        <w:rPr>
          <w:highlight w:val="yellow"/>
          <w:lang w:val="en-GB"/>
        </w:rPr>
        <w:t>have occurred</w:t>
      </w:r>
      <w:r w:rsidR="00036813" w:rsidRPr="00FD3125">
        <w:rPr>
          <w:highlight w:val="yellow"/>
          <w:lang w:val="en-GB"/>
        </w:rPr>
        <w:t>/</w:t>
      </w:r>
      <w:r w:rsidR="008E3EBC" w:rsidRPr="00FD3125">
        <w:rPr>
          <w:highlight w:val="yellow"/>
          <w:lang w:val="en-GB"/>
        </w:rPr>
        <w:t xml:space="preserve"> is</w:t>
      </w:r>
      <w:r w:rsidR="3F46F2DE" w:rsidRPr="00FD3125">
        <w:rPr>
          <w:highlight w:val="yellow"/>
          <w:lang w:val="en-GB"/>
        </w:rPr>
        <w:t>/</w:t>
      </w:r>
      <w:r w:rsidR="00036813" w:rsidRPr="00FD3125">
        <w:rPr>
          <w:highlight w:val="yellow"/>
          <w:lang w:val="en-GB"/>
        </w:rPr>
        <w:t>are occurring</w:t>
      </w:r>
      <w:r>
        <w:rPr>
          <w:lang w:val="en-GB"/>
        </w:rPr>
        <w:t>]</w:t>
      </w:r>
      <w:r w:rsidR="00036813">
        <w:rPr>
          <w:lang w:val="en-GB"/>
        </w:rPr>
        <w:t xml:space="preserve"> </w:t>
      </w:r>
      <w:r w:rsidR="00C370DB">
        <w:rPr>
          <w:lang w:val="en-GB"/>
        </w:rPr>
        <w:t xml:space="preserve">at the level of </w:t>
      </w:r>
      <w:r w:rsidR="00B81F7A" w:rsidRPr="00A3590B">
        <w:rPr>
          <w:lang w:val="en-GB"/>
        </w:rPr>
        <w:t>[</w:t>
      </w:r>
      <w:r w:rsidR="00B81F7A" w:rsidRPr="00F724E1">
        <w:rPr>
          <w:i/>
          <w:iCs/>
          <w:highlight w:val="yellow"/>
          <w:lang w:val="en-GB"/>
        </w:rPr>
        <w:t>Name of Applicant</w:t>
      </w:r>
      <w:r w:rsidR="00B81F7A" w:rsidRPr="00A3590B">
        <w:rPr>
          <w:lang w:val="en-GB"/>
        </w:rPr>
        <w:t>]</w:t>
      </w:r>
      <w:r w:rsidR="00B81F7A">
        <w:rPr>
          <w:lang w:val="en-GB"/>
        </w:rPr>
        <w:t xml:space="preserve"> </w:t>
      </w:r>
      <w:r w:rsidRPr="00FD3125">
        <w:rPr>
          <w:b/>
          <w:bCs/>
          <w:lang w:val="en-GB"/>
        </w:rPr>
        <w:t>OR</w:t>
      </w:r>
      <w:r>
        <w:rPr>
          <w:lang w:val="en-GB"/>
        </w:rPr>
        <w:t xml:space="preserve"> </w:t>
      </w:r>
      <w:r w:rsidR="0034798B">
        <w:rPr>
          <w:lang w:val="en-GB"/>
        </w:rPr>
        <w:t xml:space="preserve">has/have been facilitated by </w:t>
      </w:r>
      <w:r w:rsidR="0033084B" w:rsidRPr="00A3590B">
        <w:rPr>
          <w:lang w:val="en-GB"/>
        </w:rPr>
        <w:t>[</w:t>
      </w:r>
      <w:r w:rsidR="0033084B" w:rsidRPr="00F724E1">
        <w:rPr>
          <w:i/>
          <w:iCs/>
          <w:highlight w:val="yellow"/>
          <w:lang w:val="en-GB"/>
        </w:rPr>
        <w:t>Name of Applicant</w:t>
      </w:r>
      <w:r w:rsidR="0033084B" w:rsidRPr="00A3590B">
        <w:rPr>
          <w:lang w:val="en-GB"/>
        </w:rPr>
        <w:t>]</w:t>
      </w:r>
      <w:r>
        <w:rPr>
          <w:lang w:val="en-GB"/>
        </w:rPr>
        <w:t>.</w:t>
      </w:r>
    </w:p>
    <w:p w14:paraId="04483322" w14:textId="3F95C642" w:rsidR="00C0138F" w:rsidRPr="00A159F6" w:rsidRDefault="61FDF887" w:rsidP="00FD3125">
      <w:pPr>
        <w:numPr>
          <w:ilvl w:val="1"/>
          <w:numId w:val="15"/>
        </w:numPr>
        <w:spacing w:before="120" w:line="264" w:lineRule="auto"/>
        <w:ind w:left="706"/>
        <w:jc w:val="both"/>
        <w:rPr>
          <w:lang w:val="en-GB"/>
        </w:rPr>
      </w:pPr>
      <w:r w:rsidRPr="00A159F6">
        <w:rPr>
          <w:lang w:val="en-GB"/>
        </w:rPr>
        <w:t>The</w:t>
      </w:r>
      <w:r w:rsidR="00A3166B" w:rsidRPr="00A159F6">
        <w:rPr>
          <w:lang w:val="en-GB"/>
        </w:rPr>
        <w:t xml:space="preserve"> reported conduct(s) are likely to fall within </w:t>
      </w:r>
      <w:r w:rsidR="003A4AC6" w:rsidRPr="00A159F6">
        <w:rPr>
          <w:lang w:val="en-GB"/>
        </w:rPr>
        <w:t xml:space="preserve">the scope of </w:t>
      </w:r>
      <w:r w:rsidR="1E43A7DE" w:rsidRPr="00A159F6">
        <w:rPr>
          <w:lang w:val="en-GB"/>
        </w:rPr>
        <w:t>s</w:t>
      </w:r>
      <w:r w:rsidR="003A4AC6" w:rsidRPr="00A159F6">
        <w:rPr>
          <w:lang w:val="en-GB"/>
        </w:rPr>
        <w:t xml:space="preserve">ection 41 </w:t>
      </w:r>
      <w:r w:rsidR="003A4AC6" w:rsidRPr="00FD3125">
        <w:rPr>
          <w:b/>
          <w:bCs/>
          <w:lang w:val="en-GB"/>
        </w:rPr>
        <w:t>and/or</w:t>
      </w:r>
      <w:r w:rsidR="003A4AC6" w:rsidRPr="00A159F6">
        <w:rPr>
          <w:lang w:val="en-GB"/>
        </w:rPr>
        <w:t xml:space="preserve"> </w:t>
      </w:r>
      <w:r w:rsidR="4B67EF51" w:rsidRPr="00A159F6">
        <w:rPr>
          <w:lang w:val="en-GB"/>
        </w:rPr>
        <w:t>section</w:t>
      </w:r>
      <w:r w:rsidR="003A4AC6" w:rsidRPr="00A159F6">
        <w:rPr>
          <w:lang w:val="en-GB"/>
        </w:rPr>
        <w:t xml:space="preserve"> 42 of the Act and </w:t>
      </w:r>
      <w:r w:rsidR="00CC4B19" w:rsidRPr="00A159F6">
        <w:rPr>
          <w:lang w:val="en-GB"/>
        </w:rPr>
        <w:t>are likely to give rise to</w:t>
      </w:r>
      <w:r w:rsidR="00476B1C" w:rsidRPr="00A159F6">
        <w:rPr>
          <w:lang w:val="en-GB"/>
        </w:rPr>
        <w:t xml:space="preserve"> competition concerns </w:t>
      </w:r>
      <w:r w:rsidR="00465440" w:rsidRPr="00A159F6">
        <w:rPr>
          <w:lang w:val="en-GB"/>
        </w:rPr>
        <w:t>in the nature of</w:t>
      </w:r>
      <w:r w:rsidR="00CC489A" w:rsidRPr="00A159F6">
        <w:rPr>
          <w:lang w:val="en-GB"/>
        </w:rPr>
        <w:t xml:space="preserve"> </w:t>
      </w:r>
      <w:r w:rsidR="00CC489A" w:rsidRPr="007E613A">
        <w:rPr>
          <w:i/>
          <w:iCs/>
          <w:lang w:val="en-GB"/>
        </w:rPr>
        <w:t>[</w:t>
      </w:r>
      <w:r w:rsidR="00CC489A" w:rsidRPr="00A159F6">
        <w:rPr>
          <w:i/>
          <w:iCs/>
          <w:highlight w:val="yellow"/>
          <w:lang w:val="en-GB"/>
        </w:rPr>
        <w:t xml:space="preserve">Applicant to </w:t>
      </w:r>
      <w:r w:rsidR="00920D8F" w:rsidRPr="00A159F6">
        <w:rPr>
          <w:i/>
          <w:iCs/>
          <w:highlight w:val="yellow"/>
          <w:lang w:val="en-GB"/>
        </w:rPr>
        <w:t xml:space="preserve">state </w:t>
      </w:r>
      <w:r w:rsidR="00CC489A" w:rsidRPr="00A159F6">
        <w:rPr>
          <w:i/>
          <w:iCs/>
          <w:highlight w:val="yellow"/>
          <w:lang w:val="en-GB"/>
        </w:rPr>
        <w:t xml:space="preserve">here </w:t>
      </w:r>
      <w:r w:rsidR="00F71742" w:rsidRPr="00A159F6">
        <w:rPr>
          <w:i/>
          <w:iCs/>
          <w:highlight w:val="yellow"/>
          <w:lang w:val="en-GB"/>
        </w:rPr>
        <w:t>possible competition concerns</w:t>
      </w:r>
      <w:r w:rsidR="00920D8F" w:rsidRPr="00A159F6">
        <w:rPr>
          <w:i/>
          <w:iCs/>
          <w:highlight w:val="yellow"/>
          <w:lang w:val="en-GB"/>
        </w:rPr>
        <w:t xml:space="preserve"> that may arise</w:t>
      </w:r>
      <w:r w:rsidR="00F2532E" w:rsidRPr="00A159F6">
        <w:rPr>
          <w:i/>
          <w:iCs/>
          <w:highlight w:val="yellow"/>
          <w:lang w:val="en-GB"/>
        </w:rPr>
        <w:t xml:space="preserve"> </w:t>
      </w:r>
      <w:r w:rsidR="00465440" w:rsidRPr="00A159F6">
        <w:rPr>
          <w:i/>
          <w:iCs/>
          <w:highlight w:val="yellow"/>
          <w:lang w:val="en-GB"/>
        </w:rPr>
        <w:t xml:space="preserve">from the reported conduct(s) </w:t>
      </w:r>
      <w:r w:rsidR="004A7C70" w:rsidRPr="007E613A">
        <w:rPr>
          <w:i/>
          <w:iCs/>
          <w:highlight w:val="yellow"/>
          <w:lang w:val="en-GB"/>
        </w:rPr>
        <w:t xml:space="preserve">and </w:t>
      </w:r>
      <w:r w:rsidR="00465440" w:rsidRPr="007E613A">
        <w:rPr>
          <w:i/>
          <w:iCs/>
          <w:highlight w:val="yellow"/>
          <w:lang w:val="en-GB"/>
        </w:rPr>
        <w:t>which may be spelt out</w:t>
      </w:r>
      <w:r w:rsidR="003C0F92" w:rsidRPr="007E613A">
        <w:rPr>
          <w:i/>
          <w:iCs/>
          <w:highlight w:val="yellow"/>
          <w:lang w:val="en-GB"/>
        </w:rPr>
        <w:t>, for illustrative purposes,</w:t>
      </w:r>
      <w:r w:rsidR="00465440" w:rsidRPr="007E613A">
        <w:rPr>
          <w:i/>
          <w:iCs/>
          <w:highlight w:val="yellow"/>
          <w:lang w:val="en-GB"/>
        </w:rPr>
        <w:t xml:space="preserve"> as </w:t>
      </w:r>
      <w:r w:rsidR="003C0F92" w:rsidRPr="00A159F6">
        <w:rPr>
          <w:i/>
          <w:iCs/>
          <w:highlight w:val="yellow"/>
          <w:lang w:val="en-GB"/>
        </w:rPr>
        <w:t xml:space="preserve">anticompetitive price fixing, anticompetitive sharing of markets, </w:t>
      </w:r>
      <w:r w:rsidR="001E5043" w:rsidRPr="00A159F6">
        <w:rPr>
          <w:i/>
          <w:iCs/>
          <w:highlight w:val="yellow"/>
          <w:lang w:val="en-GB"/>
        </w:rPr>
        <w:t>anticompetitive restriction of supply</w:t>
      </w:r>
      <w:r w:rsidR="002C73B9" w:rsidRPr="00A159F6">
        <w:rPr>
          <w:i/>
          <w:iCs/>
          <w:highlight w:val="yellow"/>
          <w:lang w:val="en-GB"/>
        </w:rPr>
        <w:t xml:space="preserve"> to</w:t>
      </w:r>
      <w:r w:rsidR="001E5043" w:rsidRPr="00A159F6">
        <w:rPr>
          <w:i/>
          <w:iCs/>
          <w:highlight w:val="yellow"/>
          <w:lang w:val="en-GB"/>
        </w:rPr>
        <w:t>/acquisition</w:t>
      </w:r>
      <w:r w:rsidR="002C73B9" w:rsidRPr="00A159F6">
        <w:rPr>
          <w:i/>
          <w:iCs/>
          <w:highlight w:val="yellow"/>
          <w:lang w:val="en-GB"/>
        </w:rPr>
        <w:t xml:space="preserve"> from </w:t>
      </w:r>
      <w:r w:rsidR="00D67017" w:rsidRPr="00A159F6">
        <w:rPr>
          <w:i/>
          <w:iCs/>
          <w:highlight w:val="yellow"/>
          <w:lang w:val="en-GB"/>
        </w:rPr>
        <w:t>any person,</w:t>
      </w:r>
      <w:r w:rsidR="00EC68E4" w:rsidRPr="00A159F6">
        <w:rPr>
          <w:i/>
          <w:iCs/>
          <w:highlight w:val="yellow"/>
          <w:lang w:val="en-GB"/>
        </w:rPr>
        <w:t xml:space="preserve"> </w:t>
      </w:r>
      <w:r w:rsidR="00F5559D" w:rsidRPr="00A159F6">
        <w:rPr>
          <w:i/>
          <w:iCs/>
          <w:highlight w:val="yellow"/>
          <w:lang w:val="en-GB"/>
        </w:rPr>
        <w:t xml:space="preserve">undisclosed </w:t>
      </w:r>
      <w:r w:rsidR="00EC68E4" w:rsidRPr="00A159F6">
        <w:rPr>
          <w:i/>
          <w:iCs/>
          <w:highlight w:val="yellow"/>
          <w:lang w:val="en-GB"/>
        </w:rPr>
        <w:t>bid rigging</w:t>
      </w:r>
      <w:r w:rsidR="00F5559D" w:rsidRPr="00A159F6">
        <w:rPr>
          <w:i/>
          <w:iCs/>
          <w:highlight w:val="yellow"/>
          <w:lang w:val="en-GB"/>
        </w:rPr>
        <w:t xml:space="preserve">, </w:t>
      </w:r>
      <w:r w:rsidR="003C0F92" w:rsidRPr="00A159F6">
        <w:rPr>
          <w:i/>
          <w:iCs/>
          <w:highlight w:val="yellow"/>
          <w:lang w:val="en-GB"/>
        </w:rPr>
        <w:t xml:space="preserve">anticompetitive </w:t>
      </w:r>
      <w:r w:rsidR="00465440" w:rsidRPr="007E613A">
        <w:rPr>
          <w:i/>
          <w:iCs/>
          <w:highlight w:val="yellow"/>
          <w:lang w:val="en-GB"/>
        </w:rPr>
        <w:t>commercial</w:t>
      </w:r>
      <w:r w:rsidR="00F2532E" w:rsidRPr="007E613A">
        <w:rPr>
          <w:i/>
          <w:iCs/>
          <w:highlight w:val="yellow"/>
          <w:lang w:val="en-GB"/>
        </w:rPr>
        <w:t xml:space="preserve"> exchan</w:t>
      </w:r>
      <w:r w:rsidR="00465440" w:rsidRPr="007E613A">
        <w:rPr>
          <w:i/>
          <w:iCs/>
          <w:highlight w:val="yellow"/>
          <w:lang w:val="en-GB"/>
        </w:rPr>
        <w:t>ges</w:t>
      </w:r>
      <w:r w:rsidR="003C0F92" w:rsidRPr="00A159F6">
        <w:rPr>
          <w:i/>
          <w:iCs/>
          <w:highlight w:val="yellow"/>
          <w:lang w:val="en-GB"/>
        </w:rPr>
        <w:t xml:space="preserve"> likely to increase market transparency and facilitate alignment of </w:t>
      </w:r>
      <w:r w:rsidR="00EC68E4" w:rsidRPr="00A159F6">
        <w:rPr>
          <w:i/>
          <w:iCs/>
          <w:highlight w:val="yellow"/>
          <w:lang w:val="en-GB"/>
        </w:rPr>
        <w:t>members’ conduct on the market</w:t>
      </w:r>
      <w:r w:rsidR="00B872EC" w:rsidRPr="00A159F6">
        <w:rPr>
          <w:i/>
          <w:iCs/>
          <w:highlight w:val="yellow"/>
          <w:lang w:val="en-GB"/>
        </w:rPr>
        <w:t xml:space="preserve"> </w:t>
      </w:r>
      <w:r w:rsidR="004B06C0" w:rsidRPr="00A159F6">
        <w:rPr>
          <w:i/>
          <w:iCs/>
          <w:highlight w:val="yellow"/>
          <w:lang w:val="en-GB"/>
        </w:rPr>
        <w:t>OR</w:t>
      </w:r>
      <w:r w:rsidR="00B872EC" w:rsidRPr="00A159F6">
        <w:rPr>
          <w:i/>
          <w:iCs/>
          <w:highlight w:val="yellow"/>
          <w:lang w:val="en-GB"/>
        </w:rPr>
        <w:t xml:space="preserve"> participation in </w:t>
      </w:r>
      <w:r w:rsidR="001C6439" w:rsidRPr="00A159F6">
        <w:rPr>
          <w:i/>
          <w:iCs/>
          <w:highlight w:val="yellow"/>
          <w:lang w:val="en-GB"/>
        </w:rPr>
        <w:t>tender exercises</w:t>
      </w:r>
      <w:r w:rsidR="00F5559D" w:rsidRPr="00A159F6">
        <w:rPr>
          <w:i/>
          <w:iCs/>
          <w:highlight w:val="yellow"/>
          <w:lang w:val="en-GB"/>
        </w:rPr>
        <w:t>, etc].</w:t>
      </w:r>
      <w:r w:rsidR="00EC68E4" w:rsidRPr="007E613A">
        <w:rPr>
          <w:lang w:val="en-GB"/>
        </w:rPr>
        <w:t xml:space="preserve"> </w:t>
      </w:r>
    </w:p>
    <w:p w14:paraId="311BD00C" w14:textId="38A8FCDE" w:rsidR="00D4675A" w:rsidRDefault="00C0138F" w:rsidP="00A83EB5">
      <w:pPr>
        <w:pStyle w:val="Heading2"/>
        <w:numPr>
          <w:ilvl w:val="0"/>
          <w:numId w:val="13"/>
        </w:numPr>
        <w:spacing w:before="240" w:line="264" w:lineRule="auto"/>
        <w:ind w:left="714" w:hanging="357"/>
        <w:rPr>
          <w:color w:val="1F3864" w:themeColor="accent1" w:themeShade="80"/>
          <w:lang w:val="en-GB"/>
        </w:rPr>
      </w:pPr>
      <w:bookmarkStart w:id="2" w:name="_Toc484426994"/>
      <w:bookmarkStart w:id="3" w:name="_Toc358011225"/>
      <w:r w:rsidRPr="00DD59DF">
        <w:rPr>
          <w:color w:val="1F3864" w:themeColor="accent1" w:themeShade="80"/>
          <w:lang w:val="en-GB"/>
        </w:rPr>
        <w:t>Measures proposed as Undertakings</w:t>
      </w:r>
      <w:bookmarkEnd w:id="2"/>
      <w:bookmarkEnd w:id="3"/>
    </w:p>
    <w:p w14:paraId="00586A48" w14:textId="39457958" w:rsidR="00A83EB5" w:rsidRPr="007E613A" w:rsidRDefault="00A83EB5" w:rsidP="007E613A">
      <w:pPr>
        <w:pStyle w:val="Heading3"/>
        <w:numPr>
          <w:ilvl w:val="0"/>
          <w:numId w:val="12"/>
        </w:numPr>
        <w:spacing w:before="240" w:after="120" w:line="264" w:lineRule="auto"/>
        <w:ind w:left="714" w:hanging="357"/>
        <w:rPr>
          <w:lang w:val="en-GB"/>
        </w:rPr>
      </w:pPr>
      <w:r>
        <w:rPr>
          <w:lang w:val="en-GB"/>
        </w:rPr>
        <w:t>Cessation of Reported Conduct(s)</w:t>
      </w:r>
    </w:p>
    <w:p w14:paraId="7327DE44" w14:textId="77777777" w:rsidR="00E47697" w:rsidRPr="00E47697" w:rsidRDefault="00E47697" w:rsidP="00E47697">
      <w:pPr>
        <w:pStyle w:val="ListParagraph"/>
        <w:numPr>
          <w:ilvl w:val="0"/>
          <w:numId w:val="18"/>
        </w:numPr>
        <w:spacing w:line="264" w:lineRule="auto"/>
        <w:contextualSpacing w:val="0"/>
        <w:jc w:val="both"/>
        <w:rPr>
          <w:vanish/>
          <w:lang w:val="en-US"/>
        </w:rPr>
      </w:pPr>
    </w:p>
    <w:p w14:paraId="5B999A83" w14:textId="77777777" w:rsidR="00E47697" w:rsidRPr="00E47697" w:rsidRDefault="00E47697" w:rsidP="00E47697">
      <w:pPr>
        <w:pStyle w:val="ListParagraph"/>
        <w:numPr>
          <w:ilvl w:val="0"/>
          <w:numId w:val="18"/>
        </w:numPr>
        <w:spacing w:line="264" w:lineRule="auto"/>
        <w:contextualSpacing w:val="0"/>
        <w:jc w:val="both"/>
        <w:rPr>
          <w:vanish/>
          <w:lang w:val="en-US"/>
        </w:rPr>
      </w:pPr>
    </w:p>
    <w:p w14:paraId="74544B28" w14:textId="08110B2F" w:rsidR="00A3590B" w:rsidRDefault="49BCD8BD" w:rsidP="007E613A">
      <w:pPr>
        <w:pStyle w:val="ListParagraph"/>
        <w:numPr>
          <w:ilvl w:val="1"/>
          <w:numId w:val="18"/>
        </w:numPr>
        <w:spacing w:line="264" w:lineRule="auto"/>
        <w:contextualSpacing w:val="0"/>
        <w:jc w:val="both"/>
        <w:rPr>
          <w:lang w:val="en-US"/>
        </w:rPr>
      </w:pPr>
      <w:r w:rsidRPr="49BCD8BD">
        <w:rPr>
          <w:lang w:val="en-US"/>
        </w:rPr>
        <w:t>[</w:t>
      </w:r>
      <w:r w:rsidR="6945292F" w:rsidRPr="007E613A">
        <w:rPr>
          <w:i/>
          <w:iCs/>
          <w:highlight w:val="yellow"/>
          <w:lang w:val="en-US"/>
        </w:rPr>
        <w:t xml:space="preserve">Name </w:t>
      </w:r>
      <w:r w:rsidR="6D1E0FB0" w:rsidRPr="007E613A">
        <w:rPr>
          <w:i/>
          <w:iCs/>
          <w:highlight w:val="yellow"/>
          <w:lang w:val="en-US"/>
        </w:rPr>
        <w:t>of</w:t>
      </w:r>
      <w:r w:rsidR="0036337A" w:rsidRPr="007E613A">
        <w:rPr>
          <w:i/>
          <w:iCs/>
          <w:highlight w:val="yellow"/>
          <w:lang w:val="en-US"/>
        </w:rPr>
        <w:t xml:space="preserve"> </w:t>
      </w:r>
      <w:r w:rsidR="00A3590B" w:rsidRPr="007E613A">
        <w:rPr>
          <w:i/>
          <w:iCs/>
          <w:highlight w:val="yellow"/>
          <w:lang w:val="en-US"/>
        </w:rPr>
        <w:t>Applicant</w:t>
      </w:r>
      <w:r w:rsidR="72BDDF93" w:rsidRPr="72BDDF93">
        <w:rPr>
          <w:lang w:val="en-US"/>
        </w:rPr>
        <w:t>]</w:t>
      </w:r>
      <w:r w:rsidR="00A3590B" w:rsidRPr="12127DC9">
        <w:rPr>
          <w:lang w:val="en-US"/>
        </w:rPr>
        <w:t xml:space="preserve"> </w:t>
      </w:r>
      <w:r w:rsidR="6658CF9E" w:rsidRPr="6658CF9E">
        <w:rPr>
          <w:lang w:val="en-US"/>
        </w:rPr>
        <w:t xml:space="preserve">and </w:t>
      </w:r>
      <w:r w:rsidR="164CF275" w:rsidRPr="164CF275">
        <w:rPr>
          <w:lang w:val="en-US"/>
        </w:rPr>
        <w:t>its consenting</w:t>
      </w:r>
      <w:r w:rsidR="5120A96A" w:rsidRPr="5120A96A">
        <w:rPr>
          <w:lang w:val="en-US"/>
        </w:rPr>
        <w:t xml:space="preserve"> </w:t>
      </w:r>
      <w:r w:rsidR="66782CDF" w:rsidRPr="66782CDF">
        <w:rPr>
          <w:lang w:val="en-US"/>
        </w:rPr>
        <w:t>members</w:t>
      </w:r>
      <w:r w:rsidR="6658CF9E" w:rsidRPr="6658CF9E">
        <w:rPr>
          <w:lang w:val="en-US"/>
        </w:rPr>
        <w:t xml:space="preserve"> </w:t>
      </w:r>
      <w:r w:rsidR="00A3590B" w:rsidRPr="12127DC9">
        <w:rPr>
          <w:lang w:val="en-US"/>
        </w:rPr>
        <w:t>undertake to immediately cease</w:t>
      </w:r>
      <w:r w:rsidR="00A3590B">
        <w:rPr>
          <w:lang w:val="en-US"/>
        </w:rPr>
        <w:t xml:space="preserve"> the reported conduct(s)</w:t>
      </w:r>
      <w:r w:rsidR="00C929FE">
        <w:rPr>
          <w:lang w:val="en-US"/>
        </w:rPr>
        <w:t xml:space="preserve">, </w:t>
      </w:r>
      <w:r w:rsidR="00A1722D">
        <w:rPr>
          <w:lang w:val="en-US"/>
        </w:rPr>
        <w:t>as described</w:t>
      </w:r>
      <w:r w:rsidR="00A1722D" w:rsidRPr="00872E66">
        <w:rPr>
          <w:lang w:val="en-US"/>
        </w:rPr>
        <w:t xml:space="preserve"> in </w:t>
      </w:r>
      <w:r w:rsidR="00A1722D">
        <w:rPr>
          <w:lang w:val="en-US"/>
        </w:rPr>
        <w:t xml:space="preserve">its </w:t>
      </w:r>
      <w:proofErr w:type="gramStart"/>
      <w:r w:rsidR="00A1722D" w:rsidRPr="00872E66">
        <w:rPr>
          <w:lang w:val="en-US"/>
        </w:rPr>
        <w:t>Application</w:t>
      </w:r>
      <w:proofErr w:type="gramEnd"/>
      <w:r w:rsidR="00C929FE">
        <w:rPr>
          <w:lang w:val="en-US"/>
        </w:rPr>
        <w:t>,</w:t>
      </w:r>
      <w:r w:rsidR="00AF6A22">
        <w:rPr>
          <w:lang w:val="en-US"/>
        </w:rPr>
        <w:t xml:space="preserve"> and </w:t>
      </w:r>
      <w:r w:rsidR="0076227B">
        <w:rPr>
          <w:lang w:val="en-US"/>
        </w:rPr>
        <w:t xml:space="preserve">to </w:t>
      </w:r>
      <w:r w:rsidR="00A1722D">
        <w:rPr>
          <w:lang w:val="en-US"/>
        </w:rPr>
        <w:t>refrain from re-engaging in same or similar conduct(s)</w:t>
      </w:r>
      <w:r w:rsidR="00A3590B">
        <w:rPr>
          <w:lang w:val="en-US"/>
        </w:rPr>
        <w:t>.</w:t>
      </w:r>
      <w:r w:rsidR="009C6A13">
        <w:rPr>
          <w:lang w:val="en-US"/>
        </w:rPr>
        <w:t xml:space="preserve">  </w:t>
      </w:r>
      <w:r w:rsidR="00A85F97">
        <w:rPr>
          <w:lang w:val="en-US"/>
        </w:rPr>
        <w:t xml:space="preserve">In particular, </w:t>
      </w:r>
      <w:r w:rsidR="0060759F" w:rsidRPr="49BCD8BD">
        <w:rPr>
          <w:lang w:val="en-US"/>
        </w:rPr>
        <w:t>[</w:t>
      </w:r>
      <w:r w:rsidR="0060759F" w:rsidRPr="00F724E1">
        <w:rPr>
          <w:i/>
          <w:iCs/>
          <w:highlight w:val="yellow"/>
          <w:lang w:val="en-US"/>
        </w:rPr>
        <w:t>Name of Applicant</w:t>
      </w:r>
      <w:r w:rsidR="0060759F" w:rsidRPr="72BDDF93">
        <w:rPr>
          <w:lang w:val="en-US"/>
        </w:rPr>
        <w:t>]</w:t>
      </w:r>
      <w:r w:rsidR="0060759F" w:rsidRPr="12127DC9">
        <w:rPr>
          <w:lang w:val="en-US"/>
        </w:rPr>
        <w:t xml:space="preserve"> </w:t>
      </w:r>
      <w:r w:rsidR="00A85F97">
        <w:rPr>
          <w:lang w:val="en-US"/>
        </w:rPr>
        <w:t>undertakes</w:t>
      </w:r>
      <w:r w:rsidR="00015344">
        <w:rPr>
          <w:lang w:val="en-US"/>
        </w:rPr>
        <w:t xml:space="preserve"> to</w:t>
      </w:r>
      <w:r w:rsidR="00A85F97">
        <w:rPr>
          <w:lang w:val="en-US"/>
        </w:rPr>
        <w:t xml:space="preserve"> </w:t>
      </w:r>
      <w:r w:rsidR="00A85F97" w:rsidRPr="2602D532">
        <w:rPr>
          <w:i/>
          <w:iCs/>
          <w:highlight w:val="yellow"/>
          <w:lang w:val="en-US"/>
        </w:rPr>
        <w:t xml:space="preserve">[Applicant to state </w:t>
      </w:r>
      <w:r w:rsidR="00A85F97" w:rsidRPr="2602D532">
        <w:rPr>
          <w:i/>
          <w:iCs/>
          <w:highlight w:val="yellow"/>
          <w:lang w:val="en-US"/>
        </w:rPr>
        <w:lastRenderedPageBreak/>
        <w:t>here list of</w:t>
      </w:r>
      <w:r w:rsidR="009720A9" w:rsidRPr="2602D532">
        <w:rPr>
          <w:i/>
          <w:iCs/>
          <w:highlight w:val="yellow"/>
          <w:lang w:val="en-US"/>
        </w:rPr>
        <w:t xml:space="preserve"> commitments/measures </w:t>
      </w:r>
      <w:r w:rsidR="009720A9" w:rsidRPr="50276939">
        <w:rPr>
          <w:i/>
          <w:iCs/>
          <w:highlight w:val="yellow"/>
          <w:lang w:val="en-US"/>
        </w:rPr>
        <w:t xml:space="preserve">to satisfactorily address </w:t>
      </w:r>
      <w:r w:rsidR="00C929FE" w:rsidRPr="50276939">
        <w:rPr>
          <w:i/>
          <w:iCs/>
          <w:highlight w:val="yellow"/>
          <w:lang w:val="en-US"/>
        </w:rPr>
        <w:t xml:space="preserve">all </w:t>
      </w:r>
      <w:r w:rsidR="009720A9" w:rsidRPr="50276939">
        <w:rPr>
          <w:i/>
          <w:iCs/>
          <w:highlight w:val="yellow"/>
          <w:lang w:val="en-US"/>
        </w:rPr>
        <w:t xml:space="preserve">competition concerns arising from the conduct(s) disclosed in </w:t>
      </w:r>
      <w:r w:rsidR="00C929FE" w:rsidRPr="50276939">
        <w:rPr>
          <w:i/>
          <w:iCs/>
          <w:highlight w:val="yellow"/>
          <w:lang w:val="en-US"/>
        </w:rPr>
        <w:t>its</w:t>
      </w:r>
      <w:r w:rsidR="009720A9" w:rsidRPr="50276939">
        <w:rPr>
          <w:i/>
          <w:iCs/>
          <w:highlight w:val="yellow"/>
          <w:lang w:val="en-US"/>
        </w:rPr>
        <w:t xml:space="preserve"> TACAP application</w:t>
      </w:r>
      <w:r w:rsidR="00C929FE" w:rsidRPr="007E613A">
        <w:rPr>
          <w:i/>
          <w:iCs/>
          <w:highlight w:val="yellow"/>
          <w:lang w:val="en-US"/>
        </w:rPr>
        <w:t>].</w:t>
      </w:r>
      <w:r w:rsidR="00A85F97" w:rsidRPr="007E613A">
        <w:rPr>
          <w:i/>
          <w:iCs/>
          <w:lang w:val="en-US"/>
        </w:rPr>
        <w:t xml:space="preserve"> </w:t>
      </w:r>
    </w:p>
    <w:p w14:paraId="4E9314EC" w14:textId="5228B7B0" w:rsidR="00010DFF" w:rsidRDefault="00A1722D" w:rsidP="007E613A">
      <w:pPr>
        <w:pStyle w:val="ListParagraph"/>
        <w:numPr>
          <w:ilvl w:val="1"/>
          <w:numId w:val="18"/>
        </w:numPr>
        <w:spacing w:line="264" w:lineRule="auto"/>
        <w:contextualSpacing w:val="0"/>
        <w:jc w:val="both"/>
        <w:rPr>
          <w:lang w:val="en-US"/>
        </w:rPr>
      </w:pPr>
      <w:r>
        <w:rPr>
          <w:lang w:val="en-US"/>
        </w:rPr>
        <w:t xml:space="preserve">Without limitation to </w:t>
      </w:r>
      <w:r w:rsidR="009F2C66">
        <w:rPr>
          <w:lang w:val="en-US"/>
        </w:rPr>
        <w:t>its obligation</w:t>
      </w:r>
      <w:r w:rsidR="008D4BB5">
        <w:rPr>
          <w:lang w:val="en-US"/>
        </w:rPr>
        <w:t xml:space="preserve"> </w:t>
      </w:r>
      <w:r w:rsidR="009F2C66">
        <w:rPr>
          <w:lang w:val="en-US"/>
        </w:rPr>
        <w:t>to cease</w:t>
      </w:r>
      <w:r w:rsidR="008D4BB5">
        <w:rPr>
          <w:lang w:val="en-US"/>
        </w:rPr>
        <w:t xml:space="preserve"> participation in the reported conduct(s),</w:t>
      </w:r>
      <w:r w:rsidR="009F2C66">
        <w:rPr>
          <w:lang w:val="en-US"/>
        </w:rPr>
        <w:t xml:space="preserve"> the Applicant </w:t>
      </w:r>
      <w:r w:rsidR="00010DFF">
        <w:rPr>
          <w:lang w:val="en-US"/>
        </w:rPr>
        <w:t>further</w:t>
      </w:r>
      <w:r w:rsidR="009F2C66">
        <w:rPr>
          <w:lang w:val="en-US"/>
        </w:rPr>
        <w:t xml:space="preserve"> undertakes t</w:t>
      </w:r>
      <w:r w:rsidR="0095733A">
        <w:rPr>
          <w:lang w:val="en-US"/>
        </w:rPr>
        <w:t xml:space="preserve">hat it shall not </w:t>
      </w:r>
      <w:r w:rsidR="00C821F1">
        <w:rPr>
          <w:lang w:val="en-US"/>
        </w:rPr>
        <w:t xml:space="preserve">- </w:t>
      </w:r>
    </w:p>
    <w:p w14:paraId="28207BA6" w14:textId="14367EA4" w:rsidR="0095733A" w:rsidRPr="007E613A" w:rsidRDefault="0095733A" w:rsidP="007E613A">
      <w:pPr>
        <w:pStyle w:val="ListParagraph"/>
        <w:numPr>
          <w:ilvl w:val="2"/>
          <w:numId w:val="18"/>
        </w:numPr>
        <w:spacing w:line="264" w:lineRule="auto"/>
        <w:ind w:left="1350" w:hanging="540"/>
        <w:contextualSpacing w:val="0"/>
        <w:jc w:val="both"/>
        <w:rPr>
          <w:lang w:val="en-US"/>
        </w:rPr>
      </w:pPr>
      <w:r w:rsidRPr="72A96219">
        <w:rPr>
          <w:lang w:val="en-US"/>
        </w:rPr>
        <w:t>facilitate or encourage agreement</w:t>
      </w:r>
      <w:r w:rsidR="00672CEF">
        <w:rPr>
          <w:lang w:val="en-US"/>
        </w:rPr>
        <w:t xml:space="preserve">s, </w:t>
      </w:r>
      <w:proofErr w:type="spellStart"/>
      <w:r w:rsidR="3B766C13" w:rsidRPr="3B766C13">
        <w:rPr>
          <w:lang w:val="en-US"/>
        </w:rPr>
        <w:t>concertations</w:t>
      </w:r>
      <w:proofErr w:type="spellEnd"/>
      <w:r w:rsidR="00672CEF">
        <w:rPr>
          <w:lang w:val="en-US"/>
        </w:rPr>
        <w:t xml:space="preserve">, or </w:t>
      </w:r>
      <w:r w:rsidR="11275D19" w:rsidRPr="11275D19">
        <w:rPr>
          <w:lang w:val="en-US"/>
        </w:rPr>
        <w:t>discussions</w:t>
      </w:r>
      <w:r w:rsidR="00446FC5">
        <w:rPr>
          <w:lang w:val="en-US"/>
        </w:rPr>
        <w:t xml:space="preserve"> </w:t>
      </w:r>
      <w:r w:rsidRPr="3D09FC9E">
        <w:rPr>
          <w:lang w:val="en-US"/>
        </w:rPr>
        <w:t>between</w:t>
      </w:r>
      <w:r w:rsidR="00262BF3">
        <w:rPr>
          <w:lang w:val="en-US"/>
        </w:rPr>
        <w:t xml:space="preserve"> </w:t>
      </w:r>
      <w:r w:rsidRPr="36134752">
        <w:rPr>
          <w:lang w:val="en-US"/>
        </w:rPr>
        <w:t xml:space="preserve">members regarding prices, fees, discounts, commissions, or </w:t>
      </w:r>
      <w:r w:rsidR="00317174">
        <w:rPr>
          <w:lang w:val="en-US"/>
        </w:rPr>
        <w:t xml:space="preserve">such other </w:t>
      </w:r>
      <w:r w:rsidR="00C821F1">
        <w:rPr>
          <w:lang w:val="en-US"/>
        </w:rPr>
        <w:t>pricing component</w:t>
      </w:r>
      <w:r w:rsidRPr="007E613A">
        <w:rPr>
          <w:lang w:val="en-US"/>
        </w:rPr>
        <w:t>;</w:t>
      </w:r>
    </w:p>
    <w:p w14:paraId="01345A50" w14:textId="1D66665C" w:rsidR="0095733A" w:rsidRPr="007E613A" w:rsidRDefault="0095733A" w:rsidP="007E613A">
      <w:pPr>
        <w:pStyle w:val="ListParagraph"/>
        <w:numPr>
          <w:ilvl w:val="2"/>
          <w:numId w:val="18"/>
        </w:numPr>
        <w:spacing w:after="0" w:line="264" w:lineRule="auto"/>
        <w:ind w:left="1350" w:hanging="540"/>
        <w:contextualSpacing w:val="0"/>
        <w:jc w:val="both"/>
        <w:rPr>
          <w:lang w:val="en-US"/>
        </w:rPr>
      </w:pPr>
      <w:r w:rsidRPr="57448D2B">
        <w:rPr>
          <w:lang w:val="en-US"/>
        </w:rPr>
        <w:t>facilitate or encourage allocation of customers, territories, markets, or procurement opportunities</w:t>
      </w:r>
      <w:r w:rsidR="00B05E6A">
        <w:rPr>
          <w:lang w:val="en-US"/>
        </w:rPr>
        <w:t xml:space="preserve"> among members</w:t>
      </w:r>
      <w:r w:rsidRPr="007E613A">
        <w:rPr>
          <w:lang w:val="en-US"/>
        </w:rPr>
        <w:t>;</w:t>
      </w:r>
    </w:p>
    <w:p w14:paraId="6200B454" w14:textId="77777777" w:rsidR="00F10A30" w:rsidRDefault="00F10A30" w:rsidP="007E613A">
      <w:pPr>
        <w:pStyle w:val="ListParagraph"/>
        <w:spacing w:after="0" w:line="264" w:lineRule="auto"/>
        <w:ind w:left="1350"/>
        <w:contextualSpacing w:val="0"/>
        <w:jc w:val="both"/>
        <w:rPr>
          <w:lang w:val="en-US"/>
        </w:rPr>
      </w:pPr>
    </w:p>
    <w:p w14:paraId="2241AF17" w14:textId="06932098" w:rsidR="00B05E6A" w:rsidRPr="00AA254A" w:rsidRDefault="00B05E6A" w:rsidP="007E613A">
      <w:pPr>
        <w:pStyle w:val="ListParagraph"/>
        <w:numPr>
          <w:ilvl w:val="2"/>
          <w:numId w:val="18"/>
        </w:numPr>
        <w:spacing w:line="264" w:lineRule="auto"/>
        <w:ind w:left="1350" w:hanging="540"/>
        <w:contextualSpacing w:val="0"/>
        <w:jc w:val="both"/>
        <w:rPr>
          <w:lang w:val="en-US"/>
        </w:rPr>
      </w:pPr>
      <w:r w:rsidRPr="00AA254A">
        <w:rPr>
          <w:lang w:val="en-US"/>
        </w:rPr>
        <w:t xml:space="preserve">facilitate or encourage </w:t>
      </w:r>
      <w:r w:rsidR="00672CEF" w:rsidRPr="00AA254A">
        <w:rPr>
          <w:lang w:val="en-US"/>
        </w:rPr>
        <w:t>agreement</w:t>
      </w:r>
      <w:r w:rsidR="00672CEF">
        <w:rPr>
          <w:lang w:val="en-US"/>
        </w:rPr>
        <w:t xml:space="preserve">s, </w:t>
      </w:r>
      <w:proofErr w:type="spellStart"/>
      <w:r w:rsidR="4A4548F8" w:rsidRPr="4A4548F8">
        <w:rPr>
          <w:lang w:val="en-US"/>
        </w:rPr>
        <w:t>concertations</w:t>
      </w:r>
      <w:proofErr w:type="spellEnd"/>
      <w:r w:rsidR="00672CEF">
        <w:rPr>
          <w:lang w:val="en-US"/>
        </w:rPr>
        <w:t xml:space="preserve">, or </w:t>
      </w:r>
      <w:r w:rsidR="716A7ED5" w:rsidRPr="716A7ED5">
        <w:rPr>
          <w:lang w:val="en-US"/>
        </w:rPr>
        <w:t>discussions</w:t>
      </w:r>
      <w:r w:rsidR="00672CEF">
        <w:rPr>
          <w:lang w:val="en-US"/>
        </w:rPr>
        <w:t xml:space="preserve"> </w:t>
      </w:r>
      <w:r>
        <w:rPr>
          <w:lang w:val="en-US"/>
        </w:rPr>
        <w:t xml:space="preserve">among members regarding </w:t>
      </w:r>
      <w:r w:rsidR="00915996">
        <w:rPr>
          <w:lang w:val="en-US"/>
        </w:rPr>
        <w:t>inventory</w:t>
      </w:r>
      <w:r w:rsidR="00F22BAC">
        <w:rPr>
          <w:lang w:val="en-US"/>
        </w:rPr>
        <w:t>/stock</w:t>
      </w:r>
      <w:r w:rsidR="00E7184E">
        <w:rPr>
          <w:lang w:val="en-US"/>
        </w:rPr>
        <w:t xml:space="preserve"> levels, </w:t>
      </w:r>
      <w:r w:rsidR="00F22BAC">
        <w:rPr>
          <w:lang w:val="en-US"/>
        </w:rPr>
        <w:t xml:space="preserve">output, </w:t>
      </w:r>
      <w:r w:rsidR="00915996">
        <w:rPr>
          <w:lang w:val="en-US"/>
        </w:rPr>
        <w:t xml:space="preserve">volume, </w:t>
      </w:r>
      <w:r>
        <w:rPr>
          <w:lang w:val="en-US"/>
        </w:rPr>
        <w:t>production</w:t>
      </w:r>
      <w:r w:rsidR="00E7184E">
        <w:rPr>
          <w:lang w:val="en-US"/>
        </w:rPr>
        <w:t>, capacity</w:t>
      </w:r>
      <w:r w:rsidR="00440984">
        <w:rPr>
          <w:lang w:val="en-US"/>
        </w:rPr>
        <w:t xml:space="preserve"> or </w:t>
      </w:r>
      <w:r w:rsidR="00AF1BBF">
        <w:rPr>
          <w:lang w:val="en-US"/>
        </w:rPr>
        <w:t xml:space="preserve">production-related </w:t>
      </w:r>
      <w:r w:rsidR="00440984">
        <w:rPr>
          <w:lang w:val="en-US"/>
        </w:rPr>
        <w:t>investment</w:t>
      </w:r>
      <w:r w:rsidRPr="00AA254A">
        <w:rPr>
          <w:lang w:val="en-US"/>
        </w:rPr>
        <w:t>;</w:t>
      </w:r>
    </w:p>
    <w:p w14:paraId="0A9E3265" w14:textId="0FA6A620" w:rsidR="00303891" w:rsidRDefault="00303891" w:rsidP="007E613A">
      <w:pPr>
        <w:pStyle w:val="ListParagraph"/>
        <w:numPr>
          <w:ilvl w:val="2"/>
          <w:numId w:val="18"/>
        </w:numPr>
        <w:spacing w:line="264" w:lineRule="auto"/>
        <w:ind w:left="1350" w:hanging="540"/>
        <w:contextualSpacing w:val="0"/>
        <w:jc w:val="both"/>
        <w:rPr>
          <w:lang w:val="en-US"/>
        </w:rPr>
      </w:pPr>
      <w:r w:rsidRPr="009B0451">
        <w:rPr>
          <w:lang w:val="en-US"/>
        </w:rPr>
        <w:t>engage</w:t>
      </w:r>
      <w:r w:rsidR="00C14F20">
        <w:rPr>
          <w:lang w:val="en-US"/>
        </w:rPr>
        <w:t xml:space="preserve"> members</w:t>
      </w:r>
      <w:r w:rsidR="00314E11">
        <w:rPr>
          <w:lang w:val="en-US"/>
        </w:rPr>
        <w:t>, directly or indirectly,</w:t>
      </w:r>
      <w:r w:rsidRPr="009B0451">
        <w:rPr>
          <w:lang w:val="en-US"/>
        </w:rPr>
        <w:t xml:space="preserve"> in collective conduct that may unlawfully </w:t>
      </w:r>
      <w:proofErr w:type="gramStart"/>
      <w:r w:rsidRPr="009B0451">
        <w:rPr>
          <w:lang w:val="en-US"/>
        </w:rPr>
        <w:t>exclude,</w:t>
      </w:r>
      <w:proofErr w:type="gramEnd"/>
      <w:r w:rsidRPr="009B0451">
        <w:rPr>
          <w:lang w:val="en-US"/>
        </w:rPr>
        <w:t xml:space="preserve"> disadvantage, or boycott competitors, customers, or suppliers</w:t>
      </w:r>
      <w:r w:rsidR="57D3E22D" w:rsidRPr="57D3E22D">
        <w:rPr>
          <w:lang w:val="en-US"/>
        </w:rPr>
        <w:t>;</w:t>
      </w:r>
    </w:p>
    <w:p w14:paraId="50795BB8" w14:textId="4A413274" w:rsidR="0095733A" w:rsidRPr="007E613A" w:rsidRDefault="0095733A" w:rsidP="007E613A">
      <w:pPr>
        <w:pStyle w:val="ListParagraph"/>
        <w:numPr>
          <w:ilvl w:val="2"/>
          <w:numId w:val="18"/>
        </w:numPr>
        <w:spacing w:after="0" w:line="264" w:lineRule="auto"/>
        <w:ind w:left="1350" w:hanging="540"/>
        <w:contextualSpacing w:val="0"/>
        <w:jc w:val="both"/>
        <w:rPr>
          <w:lang w:val="en-US"/>
        </w:rPr>
      </w:pPr>
      <w:r w:rsidRPr="234AB107">
        <w:rPr>
          <w:lang w:val="en-US"/>
        </w:rPr>
        <w:t>facilitate or encourage</w:t>
      </w:r>
      <w:r w:rsidR="008830EB">
        <w:rPr>
          <w:lang w:val="en-US"/>
        </w:rPr>
        <w:t xml:space="preserve"> </w:t>
      </w:r>
      <w:r w:rsidR="004C2E08">
        <w:rPr>
          <w:lang w:val="en-US"/>
        </w:rPr>
        <w:t xml:space="preserve">any form of </w:t>
      </w:r>
      <w:r w:rsidR="008830EB">
        <w:rPr>
          <w:lang w:val="en-US"/>
        </w:rPr>
        <w:t>bid rigging,</w:t>
      </w:r>
      <w:r w:rsidRPr="007E613A">
        <w:rPr>
          <w:lang w:val="en-US"/>
        </w:rPr>
        <w:t xml:space="preserve"> coordinated bidding</w:t>
      </w:r>
      <w:r w:rsidR="008830EB">
        <w:rPr>
          <w:lang w:val="en-US"/>
        </w:rPr>
        <w:t xml:space="preserve">, </w:t>
      </w:r>
      <w:r w:rsidR="004C2E08" w:rsidRPr="00AA254A">
        <w:rPr>
          <w:lang w:val="en-US"/>
        </w:rPr>
        <w:t>or encourage</w:t>
      </w:r>
      <w:r w:rsidR="00137CD1">
        <w:rPr>
          <w:lang w:val="en-US"/>
        </w:rPr>
        <w:t xml:space="preserve"> agreements, </w:t>
      </w:r>
      <w:proofErr w:type="spellStart"/>
      <w:r w:rsidR="6F090909" w:rsidRPr="6F090909">
        <w:rPr>
          <w:lang w:val="en-US"/>
        </w:rPr>
        <w:t>concertations</w:t>
      </w:r>
      <w:proofErr w:type="spellEnd"/>
      <w:r w:rsidR="00137CD1">
        <w:rPr>
          <w:lang w:val="en-US"/>
        </w:rPr>
        <w:t xml:space="preserve"> or </w:t>
      </w:r>
      <w:r w:rsidR="6C78C15C" w:rsidRPr="6C78C15C">
        <w:rPr>
          <w:lang w:val="en-US"/>
        </w:rPr>
        <w:t>discussions</w:t>
      </w:r>
      <w:r w:rsidR="004C2E08">
        <w:rPr>
          <w:lang w:val="en-US"/>
        </w:rPr>
        <w:t xml:space="preserve"> </w:t>
      </w:r>
      <w:r w:rsidR="00AB669B">
        <w:rPr>
          <w:lang w:val="en-US"/>
        </w:rPr>
        <w:t xml:space="preserve">among members </w:t>
      </w:r>
      <w:r w:rsidR="004C2E08">
        <w:rPr>
          <w:lang w:val="en-US"/>
        </w:rPr>
        <w:t xml:space="preserve">regarding procurement </w:t>
      </w:r>
      <w:r w:rsidR="003F0F8F">
        <w:rPr>
          <w:lang w:val="en-US"/>
        </w:rPr>
        <w:t>opportunities;</w:t>
      </w:r>
      <w:r w:rsidR="7C72A659" w:rsidRPr="7C72A659">
        <w:rPr>
          <w:lang w:val="en-US"/>
        </w:rPr>
        <w:t xml:space="preserve"> </w:t>
      </w:r>
      <w:r w:rsidR="20C2BE99" w:rsidRPr="20C2BE99">
        <w:rPr>
          <w:lang w:val="en-US"/>
        </w:rPr>
        <w:t>and</w:t>
      </w:r>
    </w:p>
    <w:p w14:paraId="4ABE8C09" w14:textId="77777777" w:rsidR="006C6F8F" w:rsidRDefault="006C6F8F" w:rsidP="007E613A">
      <w:pPr>
        <w:pStyle w:val="ListParagraph"/>
        <w:spacing w:after="0" w:line="264" w:lineRule="auto"/>
        <w:ind w:left="1350"/>
        <w:contextualSpacing w:val="0"/>
        <w:jc w:val="both"/>
        <w:rPr>
          <w:lang w:val="en-US"/>
        </w:rPr>
      </w:pPr>
    </w:p>
    <w:p w14:paraId="26D134A4" w14:textId="0B0B4764" w:rsidR="0095733A" w:rsidRPr="007E613A" w:rsidRDefault="0095733A" w:rsidP="007E613A">
      <w:pPr>
        <w:pStyle w:val="ListParagraph"/>
        <w:numPr>
          <w:ilvl w:val="2"/>
          <w:numId w:val="18"/>
        </w:numPr>
        <w:spacing w:after="0" w:line="264" w:lineRule="auto"/>
        <w:ind w:left="1350" w:hanging="540"/>
        <w:contextualSpacing w:val="0"/>
        <w:jc w:val="both"/>
        <w:rPr>
          <w:lang w:val="en-US"/>
        </w:rPr>
      </w:pPr>
      <w:r w:rsidRPr="007E613A">
        <w:rPr>
          <w:lang w:val="en-US"/>
        </w:rPr>
        <w:t xml:space="preserve">adopt or maintain rules, </w:t>
      </w:r>
      <w:r w:rsidR="000F576A">
        <w:rPr>
          <w:lang w:val="en-US"/>
        </w:rPr>
        <w:t xml:space="preserve">decisions, directives, </w:t>
      </w:r>
      <w:r w:rsidRPr="007E613A">
        <w:rPr>
          <w:lang w:val="en-US"/>
        </w:rPr>
        <w:t>circulars</w:t>
      </w:r>
      <w:r w:rsidR="000F576A">
        <w:rPr>
          <w:lang w:val="en-US"/>
        </w:rPr>
        <w:t xml:space="preserve">, </w:t>
      </w:r>
      <w:r w:rsidRPr="007E613A">
        <w:rPr>
          <w:lang w:val="en-US"/>
        </w:rPr>
        <w:t>resolutions</w:t>
      </w:r>
      <w:r w:rsidR="005D578C">
        <w:rPr>
          <w:lang w:val="en-US"/>
        </w:rPr>
        <w:t xml:space="preserve">, </w:t>
      </w:r>
      <w:r w:rsidR="00D972DB">
        <w:rPr>
          <w:lang w:val="en-US"/>
        </w:rPr>
        <w:t xml:space="preserve">guidelines, </w:t>
      </w:r>
      <w:r w:rsidR="003C49D6">
        <w:rPr>
          <w:lang w:val="en-US"/>
        </w:rPr>
        <w:t xml:space="preserve">or </w:t>
      </w:r>
      <w:r w:rsidR="000F576A" w:rsidRPr="00485BD3">
        <w:rPr>
          <w:lang w:val="en-US"/>
        </w:rPr>
        <w:t xml:space="preserve">recommendations, </w:t>
      </w:r>
      <w:bookmarkStart w:id="4" w:name="_Int_SeFJFzi5"/>
      <w:r w:rsidR="005D578C">
        <w:rPr>
          <w:lang w:val="en-US"/>
        </w:rPr>
        <w:t>whether or not</w:t>
      </w:r>
      <w:bookmarkEnd w:id="4"/>
      <w:r w:rsidR="005D578C">
        <w:rPr>
          <w:lang w:val="en-US"/>
        </w:rPr>
        <w:t xml:space="preserve"> binding,</w:t>
      </w:r>
      <w:r w:rsidRPr="6E782391">
        <w:rPr>
          <w:lang w:val="en-US"/>
        </w:rPr>
        <w:t xml:space="preserve"> that may restrict independent commercial decision-making by </w:t>
      </w:r>
      <w:r w:rsidR="00A60AE4">
        <w:rPr>
          <w:lang w:val="en-US"/>
        </w:rPr>
        <w:t xml:space="preserve">or competition between </w:t>
      </w:r>
      <w:r w:rsidRPr="007E613A">
        <w:rPr>
          <w:lang w:val="en-US"/>
        </w:rPr>
        <w:t>members</w:t>
      </w:r>
      <w:r w:rsidR="00303891">
        <w:rPr>
          <w:lang w:val="en-US"/>
        </w:rPr>
        <w:t>.</w:t>
      </w:r>
    </w:p>
    <w:p w14:paraId="2D3593F7" w14:textId="5F3F470F" w:rsidR="009F2C66" w:rsidRPr="00AA254A" w:rsidRDefault="00D94365" w:rsidP="007E613A">
      <w:pPr>
        <w:pStyle w:val="Heading3"/>
        <w:numPr>
          <w:ilvl w:val="0"/>
          <w:numId w:val="12"/>
        </w:numPr>
        <w:spacing w:before="240" w:after="120"/>
        <w:rPr>
          <w:lang w:val="en-GB"/>
        </w:rPr>
      </w:pPr>
      <w:r>
        <w:rPr>
          <w:lang w:val="en-GB"/>
        </w:rPr>
        <w:t>Meetings and Communications</w:t>
      </w:r>
    </w:p>
    <w:p w14:paraId="5648ECA2" w14:textId="37165FD3" w:rsidR="002E3576" w:rsidRDefault="008312DA" w:rsidP="007E613A">
      <w:pPr>
        <w:pStyle w:val="ListParagraph"/>
        <w:numPr>
          <w:ilvl w:val="1"/>
          <w:numId w:val="18"/>
        </w:numPr>
        <w:spacing w:line="264" w:lineRule="auto"/>
        <w:ind w:hanging="522"/>
        <w:contextualSpacing w:val="0"/>
        <w:jc w:val="both"/>
        <w:rPr>
          <w:lang w:val="en-US"/>
        </w:rPr>
      </w:pPr>
      <w:r w:rsidRPr="49BCD8BD">
        <w:rPr>
          <w:lang w:val="en-US"/>
        </w:rPr>
        <w:t>[</w:t>
      </w:r>
      <w:r w:rsidRPr="00F724E1">
        <w:rPr>
          <w:i/>
          <w:iCs/>
          <w:highlight w:val="yellow"/>
          <w:lang w:val="en-US"/>
        </w:rPr>
        <w:t>Name of Applicant</w:t>
      </w:r>
      <w:r w:rsidRPr="72BDDF93">
        <w:rPr>
          <w:lang w:val="en-US"/>
        </w:rPr>
        <w:t>]</w:t>
      </w:r>
      <w:r w:rsidRPr="12127DC9">
        <w:rPr>
          <w:lang w:val="en-US"/>
        </w:rPr>
        <w:t xml:space="preserve"> </w:t>
      </w:r>
      <w:r w:rsidR="002E3576">
        <w:rPr>
          <w:lang w:val="en-US"/>
        </w:rPr>
        <w:t>also</w:t>
      </w:r>
      <w:r w:rsidR="00A3590B" w:rsidRPr="394B0302">
        <w:rPr>
          <w:lang w:val="en-US"/>
        </w:rPr>
        <w:t xml:space="preserve"> </w:t>
      </w:r>
      <w:r w:rsidR="00C0138F" w:rsidRPr="394B0302">
        <w:rPr>
          <w:lang w:val="en-US"/>
        </w:rPr>
        <w:t xml:space="preserve">undertakes to apply the </w:t>
      </w:r>
      <w:r w:rsidR="00C928B1">
        <w:rPr>
          <w:lang w:val="en-US"/>
        </w:rPr>
        <w:t>hereunder</w:t>
      </w:r>
      <w:r w:rsidR="00C928B1" w:rsidRPr="007E613A">
        <w:rPr>
          <w:lang w:val="en-US"/>
        </w:rPr>
        <w:t xml:space="preserve"> </w:t>
      </w:r>
      <w:r w:rsidR="00C0138F" w:rsidRPr="007E613A">
        <w:rPr>
          <w:lang w:val="en-US"/>
        </w:rPr>
        <w:t xml:space="preserve">measures in its </w:t>
      </w:r>
      <w:r w:rsidR="00636C35">
        <w:rPr>
          <w:lang w:val="en-US"/>
        </w:rPr>
        <w:t xml:space="preserve">organizational </w:t>
      </w:r>
      <w:r w:rsidR="00C0138F" w:rsidRPr="007E613A">
        <w:rPr>
          <w:lang w:val="en-US"/>
        </w:rPr>
        <w:t xml:space="preserve">dealings </w:t>
      </w:r>
      <w:r w:rsidR="00636C35">
        <w:rPr>
          <w:lang w:val="en-US"/>
        </w:rPr>
        <w:t xml:space="preserve">as well as in its interactions with its </w:t>
      </w:r>
      <w:r w:rsidR="00B503B1" w:rsidRPr="007E613A">
        <w:rPr>
          <w:lang w:val="en-US"/>
        </w:rPr>
        <w:t xml:space="preserve">present and future </w:t>
      </w:r>
      <w:r w:rsidR="00C27FA6" w:rsidRPr="007E613A">
        <w:rPr>
          <w:lang w:val="en-US"/>
        </w:rPr>
        <w:t>members</w:t>
      </w:r>
      <w:r w:rsidR="006D4594" w:rsidRPr="007E613A">
        <w:rPr>
          <w:lang w:val="en-US"/>
        </w:rPr>
        <w:t xml:space="preserve"> </w:t>
      </w:r>
      <w:r w:rsidR="00037F26" w:rsidRPr="007E613A">
        <w:rPr>
          <w:lang w:val="en-US"/>
        </w:rPr>
        <w:t>to ensure compliance with the Act</w:t>
      </w:r>
      <w:r w:rsidR="00037F26" w:rsidRPr="0FE0E4C5">
        <w:rPr>
          <w:lang w:val="en-US"/>
        </w:rPr>
        <w:t xml:space="preserve"> </w:t>
      </w:r>
      <w:r w:rsidR="0413B76F" w:rsidRPr="0413B76F">
        <w:rPr>
          <w:lang w:val="en-US"/>
        </w:rPr>
        <w:t xml:space="preserve">and </w:t>
      </w:r>
      <w:r w:rsidR="0A91A0C9" w:rsidRPr="0A91A0C9">
        <w:rPr>
          <w:lang w:val="en-US"/>
        </w:rPr>
        <w:t>Regulations</w:t>
      </w:r>
      <w:r w:rsidR="0FE0E4C5" w:rsidRPr="007E613A">
        <w:rPr>
          <w:lang w:val="en-US"/>
        </w:rPr>
        <w:t xml:space="preserve"> </w:t>
      </w:r>
      <w:r w:rsidR="00037F26" w:rsidRPr="007E613A">
        <w:rPr>
          <w:lang w:val="en-US"/>
        </w:rPr>
        <w:t>going forward</w:t>
      </w:r>
      <w:r w:rsidR="003D77D3" w:rsidRPr="55CF44C8" w:rsidDel="00364A26">
        <w:rPr>
          <w:lang w:val="en-US"/>
        </w:rPr>
        <w:t>.</w:t>
      </w:r>
      <w:r w:rsidR="00364A26">
        <w:rPr>
          <w:lang w:val="en-US"/>
        </w:rPr>
        <w:t xml:space="preserve"> </w:t>
      </w:r>
    </w:p>
    <w:p w14:paraId="4C0DA3FD" w14:textId="1A5A3792" w:rsidR="00C0138F" w:rsidRDefault="00725E2F" w:rsidP="007E613A">
      <w:pPr>
        <w:pStyle w:val="ListParagraph"/>
        <w:numPr>
          <w:ilvl w:val="1"/>
          <w:numId w:val="18"/>
        </w:numPr>
        <w:spacing w:line="264" w:lineRule="auto"/>
        <w:ind w:hanging="522"/>
        <w:contextualSpacing w:val="0"/>
        <w:jc w:val="both"/>
        <w:rPr>
          <w:lang w:val="en-US"/>
        </w:rPr>
      </w:pPr>
      <w:r w:rsidRPr="49BCD8BD">
        <w:rPr>
          <w:lang w:val="en-US"/>
        </w:rPr>
        <w:t>[</w:t>
      </w:r>
      <w:r w:rsidRPr="00F724E1">
        <w:rPr>
          <w:i/>
          <w:iCs/>
          <w:highlight w:val="yellow"/>
          <w:lang w:val="en-US"/>
        </w:rPr>
        <w:t>Name of Applicant</w:t>
      </w:r>
      <w:r w:rsidRPr="72BDDF93">
        <w:rPr>
          <w:lang w:val="en-US"/>
        </w:rPr>
        <w:t>]</w:t>
      </w:r>
      <w:r w:rsidRPr="12127DC9">
        <w:rPr>
          <w:lang w:val="en-US"/>
        </w:rPr>
        <w:t xml:space="preserve"> </w:t>
      </w:r>
      <w:r w:rsidR="00D13069" w:rsidRPr="007E613A">
        <w:rPr>
          <w:lang w:val="en-US"/>
        </w:rPr>
        <w:t xml:space="preserve">undertakes that all meetings </w:t>
      </w:r>
      <w:proofErr w:type="spellStart"/>
      <w:r w:rsidR="00D13069" w:rsidRPr="007E613A">
        <w:rPr>
          <w:lang w:val="en-US"/>
        </w:rPr>
        <w:t>organised</w:t>
      </w:r>
      <w:proofErr w:type="spellEnd"/>
      <w:r w:rsidR="00D13069" w:rsidRPr="007E613A">
        <w:rPr>
          <w:lang w:val="en-US"/>
        </w:rPr>
        <w:t xml:space="preserve"> under its authority shall:</w:t>
      </w:r>
    </w:p>
    <w:p w14:paraId="4F8ECFBA" w14:textId="7024BBA3" w:rsidR="001F13F5" w:rsidRPr="001F13F5" w:rsidRDefault="001F13F5" w:rsidP="007E613A">
      <w:pPr>
        <w:pStyle w:val="ListParagraph"/>
        <w:numPr>
          <w:ilvl w:val="2"/>
          <w:numId w:val="18"/>
        </w:numPr>
        <w:spacing w:line="264" w:lineRule="auto"/>
        <w:ind w:left="1350" w:hanging="540"/>
        <w:contextualSpacing w:val="0"/>
        <w:jc w:val="both"/>
        <w:rPr>
          <w:lang w:val="en-US"/>
        </w:rPr>
      </w:pPr>
      <w:r w:rsidRPr="001F13F5">
        <w:rPr>
          <w:lang w:val="en-US"/>
        </w:rPr>
        <w:t>have a clear agenda circulated in advance;</w:t>
      </w:r>
    </w:p>
    <w:p w14:paraId="7D6A1B7C" w14:textId="4FD135C1" w:rsidR="00773461" w:rsidRPr="001F13F5" w:rsidRDefault="00773461" w:rsidP="007E613A">
      <w:pPr>
        <w:pStyle w:val="ListParagraph"/>
        <w:numPr>
          <w:ilvl w:val="2"/>
          <w:numId w:val="18"/>
        </w:numPr>
        <w:spacing w:line="264" w:lineRule="auto"/>
        <w:ind w:left="1350" w:hanging="540"/>
        <w:contextualSpacing w:val="0"/>
        <w:jc w:val="both"/>
        <w:rPr>
          <w:lang w:val="en-US"/>
        </w:rPr>
      </w:pPr>
      <w:r w:rsidRPr="001F13F5">
        <w:rPr>
          <w:lang w:val="en-US"/>
        </w:rPr>
        <w:t>maintain accurate minutes;</w:t>
      </w:r>
    </w:p>
    <w:p w14:paraId="06DF450D" w14:textId="5C84CB75" w:rsidR="00170AFC" w:rsidRDefault="00A86EFE" w:rsidP="00015344">
      <w:pPr>
        <w:pStyle w:val="ListParagraph"/>
        <w:numPr>
          <w:ilvl w:val="2"/>
          <w:numId w:val="18"/>
        </w:numPr>
        <w:spacing w:line="264" w:lineRule="auto"/>
        <w:ind w:left="1350" w:hanging="540"/>
        <w:contextualSpacing w:val="0"/>
        <w:jc w:val="both"/>
        <w:rPr>
          <w:lang w:val="en-US"/>
        </w:rPr>
      </w:pPr>
      <w:r>
        <w:rPr>
          <w:lang w:val="en-US"/>
        </w:rPr>
        <w:t>caution members</w:t>
      </w:r>
      <w:r w:rsidR="002E7D5C">
        <w:rPr>
          <w:lang w:val="en-US"/>
        </w:rPr>
        <w:t>, at the start of meetings,</w:t>
      </w:r>
      <w:r>
        <w:rPr>
          <w:lang w:val="en-US"/>
        </w:rPr>
        <w:t xml:space="preserve"> against engaging in</w:t>
      </w:r>
      <w:r w:rsidR="001F13F5" w:rsidRPr="001F13F5">
        <w:rPr>
          <w:lang w:val="en-US"/>
        </w:rPr>
        <w:t xml:space="preserve"> discussions</w:t>
      </w:r>
      <w:r w:rsidR="00E6021A">
        <w:rPr>
          <w:lang w:val="en-US"/>
        </w:rPr>
        <w:t xml:space="preserve"> </w:t>
      </w:r>
      <w:r w:rsidR="001F13F5" w:rsidRPr="001F13F5">
        <w:rPr>
          <w:lang w:val="en-US"/>
        </w:rPr>
        <w:t>relating to competitively sensitive matters;</w:t>
      </w:r>
      <w:r w:rsidR="002E3576">
        <w:rPr>
          <w:lang w:val="en-US"/>
        </w:rPr>
        <w:t xml:space="preserve"> </w:t>
      </w:r>
    </w:p>
    <w:p w14:paraId="235C3226" w14:textId="67ED141F" w:rsidR="003B37E2" w:rsidRPr="003B37E2" w:rsidRDefault="00170AFC" w:rsidP="007E613A">
      <w:pPr>
        <w:pStyle w:val="ListParagraph"/>
        <w:numPr>
          <w:ilvl w:val="2"/>
          <w:numId w:val="18"/>
        </w:numPr>
        <w:spacing w:line="264" w:lineRule="auto"/>
        <w:ind w:left="1440" w:hanging="630"/>
        <w:jc w:val="both"/>
        <w:rPr>
          <w:lang w:val="en-US"/>
        </w:rPr>
      </w:pPr>
      <w:r>
        <w:rPr>
          <w:lang w:val="en-US"/>
        </w:rPr>
        <w:t>not permit</w:t>
      </w:r>
      <w:r w:rsidR="003B37E2">
        <w:rPr>
          <w:lang w:val="en-US"/>
        </w:rPr>
        <w:t xml:space="preserve"> </w:t>
      </w:r>
      <w:r w:rsidR="00441130">
        <w:rPr>
          <w:lang w:val="en-US"/>
        </w:rPr>
        <w:t xml:space="preserve">discussions </w:t>
      </w:r>
      <w:r w:rsidR="00AA1743">
        <w:rPr>
          <w:lang w:val="en-US"/>
        </w:rPr>
        <w:t xml:space="preserve">among </w:t>
      </w:r>
      <w:r w:rsidR="003B37E2" w:rsidRPr="003B37E2">
        <w:rPr>
          <w:lang w:val="en-US"/>
        </w:rPr>
        <w:t>members relating to:</w:t>
      </w:r>
    </w:p>
    <w:p w14:paraId="5233D35E" w14:textId="51C6C341" w:rsidR="00FD34C1" w:rsidRDefault="003B37E2">
      <w:pPr>
        <w:pStyle w:val="ListParagraph"/>
        <w:numPr>
          <w:ilvl w:val="0"/>
          <w:numId w:val="17"/>
        </w:numPr>
        <w:tabs>
          <w:tab w:val="left" w:pos="1276"/>
        </w:tabs>
        <w:spacing w:line="264" w:lineRule="auto"/>
        <w:jc w:val="both"/>
        <w:rPr>
          <w:lang w:val="en-US"/>
        </w:rPr>
      </w:pPr>
      <w:r w:rsidRPr="00CC7286">
        <w:rPr>
          <w:lang w:val="en-US"/>
        </w:rPr>
        <w:t>current or future prices;</w:t>
      </w:r>
      <w:r w:rsidR="00AB18EC" w:rsidRPr="00CC7286">
        <w:rPr>
          <w:lang w:val="en-US"/>
        </w:rPr>
        <w:t xml:space="preserve"> </w:t>
      </w:r>
    </w:p>
    <w:p w14:paraId="59C675D7" w14:textId="045D6796" w:rsidR="00EE43FE" w:rsidRDefault="003B37E2">
      <w:pPr>
        <w:pStyle w:val="ListParagraph"/>
        <w:numPr>
          <w:ilvl w:val="0"/>
          <w:numId w:val="17"/>
        </w:numPr>
        <w:tabs>
          <w:tab w:val="left" w:pos="1276"/>
        </w:tabs>
        <w:spacing w:line="264" w:lineRule="auto"/>
        <w:jc w:val="both"/>
        <w:rPr>
          <w:lang w:val="en-US"/>
        </w:rPr>
      </w:pPr>
      <w:r w:rsidRPr="00CC7286">
        <w:rPr>
          <w:lang w:val="en-US"/>
        </w:rPr>
        <w:t>pricing intentions or pricing strategies;</w:t>
      </w:r>
      <w:r w:rsidR="00825144" w:rsidRPr="00CC7286">
        <w:rPr>
          <w:lang w:val="en-US"/>
        </w:rPr>
        <w:t xml:space="preserve"> </w:t>
      </w:r>
    </w:p>
    <w:p w14:paraId="0EE31C13" w14:textId="3A4C4EAE" w:rsidR="001A284F" w:rsidRDefault="003B37E2">
      <w:pPr>
        <w:pStyle w:val="ListParagraph"/>
        <w:numPr>
          <w:ilvl w:val="0"/>
          <w:numId w:val="17"/>
        </w:numPr>
        <w:tabs>
          <w:tab w:val="left" w:pos="1276"/>
        </w:tabs>
        <w:spacing w:line="264" w:lineRule="auto"/>
        <w:jc w:val="both"/>
        <w:rPr>
          <w:lang w:val="en-US"/>
        </w:rPr>
      </w:pPr>
      <w:r w:rsidRPr="00CC7286">
        <w:rPr>
          <w:lang w:val="en-US"/>
        </w:rPr>
        <w:t>tender participation or bidding intentions;</w:t>
      </w:r>
      <w:r w:rsidR="00771097">
        <w:rPr>
          <w:lang w:val="en-US"/>
        </w:rPr>
        <w:t xml:space="preserve"> </w:t>
      </w:r>
    </w:p>
    <w:p w14:paraId="263F3408" w14:textId="26B6BD32" w:rsidR="0038351F" w:rsidRDefault="003B37E2">
      <w:pPr>
        <w:pStyle w:val="ListParagraph"/>
        <w:numPr>
          <w:ilvl w:val="0"/>
          <w:numId w:val="17"/>
        </w:numPr>
        <w:tabs>
          <w:tab w:val="left" w:pos="1276"/>
        </w:tabs>
        <w:spacing w:line="264" w:lineRule="auto"/>
        <w:jc w:val="both"/>
        <w:rPr>
          <w:lang w:val="en-US"/>
        </w:rPr>
      </w:pPr>
      <w:r w:rsidRPr="00CC7286">
        <w:rPr>
          <w:lang w:val="en-US"/>
        </w:rPr>
        <w:t>allocation of customers</w:t>
      </w:r>
      <w:r w:rsidR="00F45918" w:rsidRPr="00CC7286">
        <w:rPr>
          <w:lang w:val="en-US"/>
        </w:rPr>
        <w:t xml:space="preserve">, </w:t>
      </w:r>
      <w:r w:rsidRPr="00CC7286">
        <w:rPr>
          <w:lang w:val="en-US"/>
        </w:rPr>
        <w:t>territories</w:t>
      </w:r>
      <w:r w:rsidR="00F45918" w:rsidRPr="00CC7286">
        <w:rPr>
          <w:lang w:val="en-US"/>
        </w:rPr>
        <w:t>,</w:t>
      </w:r>
      <w:r w:rsidR="005D1FBF" w:rsidRPr="00CC7286">
        <w:rPr>
          <w:lang w:val="en-US"/>
        </w:rPr>
        <w:t xml:space="preserve"> </w:t>
      </w:r>
      <w:r w:rsidR="00F45918" w:rsidRPr="00CC7286">
        <w:rPr>
          <w:lang w:val="en-US"/>
        </w:rPr>
        <w:t>markets</w:t>
      </w:r>
      <w:r w:rsidR="005D1FBF" w:rsidRPr="00CC7286">
        <w:rPr>
          <w:lang w:val="en-US"/>
        </w:rPr>
        <w:t>, or tenders</w:t>
      </w:r>
      <w:r w:rsidRPr="00CC7286">
        <w:rPr>
          <w:lang w:val="en-US"/>
        </w:rPr>
        <w:t>;</w:t>
      </w:r>
      <w:r w:rsidR="00BE3A86" w:rsidRPr="00CC7286">
        <w:rPr>
          <w:lang w:val="en-US"/>
        </w:rPr>
        <w:t xml:space="preserve"> </w:t>
      </w:r>
    </w:p>
    <w:p w14:paraId="410F435C" w14:textId="77777777" w:rsidR="002943AF" w:rsidRDefault="003B37E2" w:rsidP="002943AF">
      <w:pPr>
        <w:pStyle w:val="ListParagraph"/>
        <w:numPr>
          <w:ilvl w:val="0"/>
          <w:numId w:val="17"/>
        </w:numPr>
        <w:tabs>
          <w:tab w:val="left" w:pos="1276"/>
        </w:tabs>
        <w:spacing w:line="264" w:lineRule="auto"/>
        <w:jc w:val="both"/>
        <w:rPr>
          <w:lang w:val="en-US"/>
        </w:rPr>
      </w:pPr>
      <w:r w:rsidRPr="00B507B2">
        <w:rPr>
          <w:lang w:val="en-US"/>
        </w:rPr>
        <w:t xml:space="preserve">commercially sensitive business strategies; </w:t>
      </w:r>
    </w:p>
    <w:p w14:paraId="34C3E6F1" w14:textId="282C2835" w:rsidR="001F13F5" w:rsidRPr="002943AF" w:rsidRDefault="003B37E2" w:rsidP="007E613A">
      <w:pPr>
        <w:pStyle w:val="ListParagraph"/>
        <w:numPr>
          <w:ilvl w:val="0"/>
          <w:numId w:val="17"/>
        </w:numPr>
        <w:tabs>
          <w:tab w:val="left" w:pos="1276"/>
        </w:tabs>
        <w:spacing w:line="264" w:lineRule="auto"/>
        <w:jc w:val="both"/>
        <w:rPr>
          <w:lang w:val="en-US"/>
        </w:rPr>
      </w:pPr>
      <w:r w:rsidRPr="002943AF">
        <w:rPr>
          <w:lang w:val="en-US"/>
        </w:rPr>
        <w:t>or</w:t>
      </w:r>
      <w:r w:rsidR="00D03D57" w:rsidRPr="002943AF">
        <w:rPr>
          <w:lang w:val="en-US"/>
        </w:rPr>
        <w:t xml:space="preserve"> </w:t>
      </w:r>
      <w:r w:rsidRPr="002943AF">
        <w:rPr>
          <w:lang w:val="en-US"/>
        </w:rPr>
        <w:t>any other matter that may unlawfully restrict competition.</w:t>
      </w:r>
    </w:p>
    <w:p w14:paraId="0DA19546" w14:textId="77777777" w:rsidR="00CC7286" w:rsidRDefault="00CC7286" w:rsidP="007E613A">
      <w:pPr>
        <w:pStyle w:val="ListParagraph"/>
        <w:tabs>
          <w:tab w:val="left" w:pos="1276"/>
        </w:tabs>
        <w:spacing w:line="264" w:lineRule="auto"/>
        <w:ind w:left="2421"/>
        <w:jc w:val="both"/>
        <w:rPr>
          <w:lang w:val="en-US"/>
        </w:rPr>
      </w:pPr>
    </w:p>
    <w:p w14:paraId="321F1979" w14:textId="140136D7" w:rsidR="00AD7880" w:rsidRDefault="001F13F5" w:rsidP="007E613A">
      <w:pPr>
        <w:pStyle w:val="ListParagraph"/>
        <w:numPr>
          <w:ilvl w:val="2"/>
          <w:numId w:val="18"/>
        </w:numPr>
        <w:spacing w:line="264" w:lineRule="auto"/>
        <w:ind w:left="1350" w:hanging="540"/>
        <w:contextualSpacing w:val="0"/>
        <w:jc w:val="both"/>
        <w:rPr>
          <w:lang w:val="en-US"/>
        </w:rPr>
      </w:pPr>
      <w:r w:rsidRPr="001F13F5">
        <w:rPr>
          <w:lang w:val="en-US"/>
        </w:rPr>
        <w:t>include appropriate compliance reminders where necessary</w:t>
      </w:r>
      <w:r w:rsidR="00285561">
        <w:rPr>
          <w:lang w:val="en-US"/>
        </w:rPr>
        <w:t xml:space="preserve"> and </w:t>
      </w:r>
      <w:r w:rsidR="005F014F">
        <w:rPr>
          <w:lang w:val="en-US"/>
        </w:rPr>
        <w:t>document any such reminder as</w:t>
      </w:r>
      <w:r w:rsidR="00285561">
        <w:rPr>
          <w:lang w:val="en-US"/>
        </w:rPr>
        <w:t xml:space="preserve"> part of the </w:t>
      </w:r>
      <w:r w:rsidR="00B07AD8">
        <w:rPr>
          <w:lang w:val="en-US"/>
        </w:rPr>
        <w:t xml:space="preserve">minutes of the meeting or in such other </w:t>
      </w:r>
      <w:r w:rsidR="007E7463">
        <w:rPr>
          <w:lang w:val="en-US"/>
        </w:rPr>
        <w:t xml:space="preserve">appropriate </w:t>
      </w:r>
      <w:r w:rsidR="00B07AD8">
        <w:rPr>
          <w:lang w:val="en-US"/>
        </w:rPr>
        <w:t>records</w:t>
      </w:r>
      <w:r w:rsidRPr="001F13F5">
        <w:rPr>
          <w:lang w:val="en-US"/>
        </w:rPr>
        <w:t>.</w:t>
      </w:r>
    </w:p>
    <w:p w14:paraId="15710C9B" w14:textId="4B84F397" w:rsidR="00350C3B" w:rsidRPr="00373FF3" w:rsidRDefault="00F80636" w:rsidP="007E613A">
      <w:pPr>
        <w:pStyle w:val="ListParagraph"/>
        <w:numPr>
          <w:ilvl w:val="1"/>
          <w:numId w:val="18"/>
        </w:numPr>
        <w:spacing w:line="264" w:lineRule="auto"/>
        <w:ind w:hanging="522"/>
        <w:contextualSpacing w:val="0"/>
        <w:jc w:val="both"/>
        <w:rPr>
          <w:lang w:val="en-US"/>
        </w:rPr>
      </w:pPr>
      <w:r w:rsidRPr="49BCD8BD">
        <w:rPr>
          <w:lang w:val="en-US"/>
        </w:rPr>
        <w:lastRenderedPageBreak/>
        <w:t>[</w:t>
      </w:r>
      <w:r w:rsidRPr="00F724E1">
        <w:rPr>
          <w:i/>
          <w:iCs/>
          <w:highlight w:val="yellow"/>
          <w:lang w:val="en-US"/>
        </w:rPr>
        <w:t>Name of Applicant</w:t>
      </w:r>
      <w:r w:rsidRPr="72BDDF93">
        <w:rPr>
          <w:lang w:val="en-US"/>
        </w:rPr>
        <w:t>]</w:t>
      </w:r>
      <w:r w:rsidRPr="12127DC9">
        <w:rPr>
          <w:lang w:val="en-US"/>
        </w:rPr>
        <w:t xml:space="preserve"> </w:t>
      </w:r>
      <w:r w:rsidR="00350C3B" w:rsidRPr="00373FF3">
        <w:rPr>
          <w:lang w:val="en-US"/>
        </w:rPr>
        <w:t xml:space="preserve">shall establish and </w:t>
      </w:r>
      <w:r w:rsidR="00350C3B">
        <w:rPr>
          <w:lang w:val="en-US"/>
        </w:rPr>
        <w:t>make known</w:t>
      </w:r>
      <w:r w:rsidR="00350C3B" w:rsidRPr="00373FF3">
        <w:rPr>
          <w:lang w:val="en-US"/>
        </w:rPr>
        <w:t xml:space="preserve"> internal procedures requiring any present and future member to report, without delay, any </w:t>
      </w:r>
      <w:r w:rsidR="00143A17" w:rsidRPr="00373FF3">
        <w:rPr>
          <w:lang w:val="en-US"/>
        </w:rPr>
        <w:t>coordination</w:t>
      </w:r>
      <w:r w:rsidR="00143A17">
        <w:rPr>
          <w:lang w:val="en-US"/>
        </w:rPr>
        <w:t xml:space="preserve"> or attempted coordination of their commercial strategies</w:t>
      </w:r>
      <w:r w:rsidR="00143A17" w:rsidRPr="00373FF3">
        <w:rPr>
          <w:lang w:val="en-US"/>
        </w:rPr>
        <w:t xml:space="preserve"> </w:t>
      </w:r>
      <w:r w:rsidR="00E724FE">
        <w:rPr>
          <w:lang w:val="en-US"/>
        </w:rPr>
        <w:t xml:space="preserve">or any </w:t>
      </w:r>
      <w:r w:rsidR="00350C3B" w:rsidRPr="00373FF3">
        <w:rPr>
          <w:lang w:val="en-US"/>
        </w:rPr>
        <w:t>communication or attempted communication between members involving competitively sensitive information</w:t>
      </w:r>
      <w:r w:rsidR="00350C3B">
        <w:rPr>
          <w:lang w:val="en-US"/>
        </w:rPr>
        <w:t>.</w:t>
      </w:r>
    </w:p>
    <w:p w14:paraId="1B8B8CDA" w14:textId="4681CC2F" w:rsidR="00E54408" w:rsidRDefault="00F50DD7" w:rsidP="007E613A">
      <w:pPr>
        <w:pStyle w:val="ListParagraph"/>
        <w:numPr>
          <w:ilvl w:val="1"/>
          <w:numId w:val="18"/>
        </w:numPr>
        <w:spacing w:line="264" w:lineRule="auto"/>
        <w:ind w:hanging="522"/>
        <w:contextualSpacing w:val="0"/>
        <w:jc w:val="both"/>
        <w:rPr>
          <w:lang w:val="en-US"/>
        </w:rPr>
      </w:pPr>
      <w:r w:rsidRPr="49BCD8BD">
        <w:rPr>
          <w:lang w:val="en-US"/>
        </w:rPr>
        <w:t>[</w:t>
      </w:r>
      <w:r w:rsidRPr="00F724E1">
        <w:rPr>
          <w:i/>
          <w:iCs/>
          <w:highlight w:val="yellow"/>
          <w:lang w:val="en-US"/>
        </w:rPr>
        <w:t>Name of Applicant</w:t>
      </w:r>
      <w:r w:rsidRPr="72BDDF93">
        <w:rPr>
          <w:lang w:val="en-US"/>
        </w:rPr>
        <w:t>]</w:t>
      </w:r>
      <w:r w:rsidRPr="12127DC9">
        <w:rPr>
          <w:lang w:val="en-US"/>
        </w:rPr>
        <w:t xml:space="preserve"> </w:t>
      </w:r>
      <w:r w:rsidR="00161A80">
        <w:rPr>
          <w:lang w:val="en-US"/>
        </w:rPr>
        <w:t xml:space="preserve">further </w:t>
      </w:r>
      <w:r w:rsidR="00E54408" w:rsidRPr="007E613A">
        <w:rPr>
          <w:lang w:val="en-US"/>
        </w:rPr>
        <w:t>undertakes to discourage the use of informal communication channels</w:t>
      </w:r>
      <w:r w:rsidR="00D918AB">
        <w:rPr>
          <w:lang w:val="en-US"/>
        </w:rPr>
        <w:t xml:space="preserve"> </w:t>
      </w:r>
      <w:r w:rsidR="00E54408" w:rsidRPr="007E613A">
        <w:rPr>
          <w:lang w:val="en-US"/>
        </w:rPr>
        <w:t>or side meetings</w:t>
      </w:r>
      <w:r w:rsidR="00EF37AD">
        <w:rPr>
          <w:lang w:val="en-US"/>
        </w:rPr>
        <w:t xml:space="preserve"> among member groups</w:t>
      </w:r>
      <w:r w:rsidR="00E54408" w:rsidRPr="007E613A">
        <w:rPr>
          <w:lang w:val="en-US"/>
        </w:rPr>
        <w:t xml:space="preserve"> for </w:t>
      </w:r>
      <w:r w:rsidR="0007142D">
        <w:rPr>
          <w:lang w:val="en-US"/>
        </w:rPr>
        <w:t>private</w:t>
      </w:r>
      <w:r w:rsidR="00D164B7">
        <w:rPr>
          <w:lang w:val="en-US"/>
        </w:rPr>
        <w:t xml:space="preserve">, </w:t>
      </w:r>
      <w:r w:rsidR="0007142D">
        <w:rPr>
          <w:lang w:val="en-US"/>
        </w:rPr>
        <w:t xml:space="preserve">business-related </w:t>
      </w:r>
      <w:r w:rsidR="00E54408" w:rsidRPr="007E613A">
        <w:rPr>
          <w:lang w:val="en-US"/>
        </w:rPr>
        <w:t>discussions</w:t>
      </w:r>
      <w:r w:rsidR="00B160F4">
        <w:rPr>
          <w:lang w:val="en-US"/>
        </w:rPr>
        <w:t xml:space="preserve"> among members</w:t>
      </w:r>
      <w:r w:rsidR="00E54408" w:rsidRPr="007E613A">
        <w:rPr>
          <w:lang w:val="en-US"/>
        </w:rPr>
        <w:t>.</w:t>
      </w:r>
    </w:p>
    <w:p w14:paraId="42590996" w14:textId="7D6AB7C9" w:rsidR="00C0138F" w:rsidRDefault="4D33989C">
      <w:pPr>
        <w:pStyle w:val="Heading3"/>
        <w:numPr>
          <w:ilvl w:val="0"/>
          <w:numId w:val="12"/>
        </w:numPr>
        <w:spacing w:before="240" w:after="120"/>
        <w:rPr>
          <w:lang w:val="en-GB"/>
        </w:rPr>
      </w:pPr>
      <w:bookmarkStart w:id="5" w:name="_Toc358011226"/>
      <w:bookmarkStart w:id="6" w:name="_Toc484426995"/>
      <w:r w:rsidRPr="4D33989C">
        <w:rPr>
          <w:lang w:val="en-GB"/>
        </w:rPr>
        <w:t>Information Exchanges</w:t>
      </w:r>
      <w:bookmarkEnd w:id="5"/>
      <w:bookmarkEnd w:id="6"/>
    </w:p>
    <w:p w14:paraId="751FE5EE" w14:textId="446AB68C" w:rsidR="009C6FF3" w:rsidRPr="00724858" w:rsidRDefault="0081751C" w:rsidP="00015344">
      <w:pPr>
        <w:pStyle w:val="ListParagraph"/>
        <w:numPr>
          <w:ilvl w:val="1"/>
          <w:numId w:val="18"/>
        </w:numPr>
        <w:spacing w:line="264" w:lineRule="auto"/>
        <w:ind w:hanging="522"/>
        <w:contextualSpacing w:val="0"/>
        <w:jc w:val="both"/>
        <w:rPr>
          <w:lang w:val="en-US"/>
        </w:rPr>
      </w:pPr>
      <w:r w:rsidRPr="49BCD8BD">
        <w:rPr>
          <w:lang w:val="en-US"/>
        </w:rPr>
        <w:t>[</w:t>
      </w:r>
      <w:r w:rsidRPr="00F724E1">
        <w:rPr>
          <w:i/>
          <w:iCs/>
          <w:highlight w:val="yellow"/>
          <w:lang w:val="en-US"/>
        </w:rPr>
        <w:t>Name of Applicant</w:t>
      </w:r>
      <w:r w:rsidRPr="72BDDF93">
        <w:rPr>
          <w:lang w:val="en-US"/>
        </w:rPr>
        <w:t>]</w:t>
      </w:r>
      <w:r w:rsidRPr="12127DC9">
        <w:rPr>
          <w:lang w:val="en-US"/>
        </w:rPr>
        <w:t xml:space="preserve"> </w:t>
      </w:r>
      <w:r w:rsidR="009C6FF3">
        <w:rPr>
          <w:lang w:val="en-US"/>
        </w:rPr>
        <w:t>undertakes that it sh</w:t>
      </w:r>
      <w:r w:rsidR="00111B19">
        <w:rPr>
          <w:lang w:val="en-US"/>
        </w:rPr>
        <w:t xml:space="preserve">all not, </w:t>
      </w:r>
      <w:r w:rsidR="009C6FF3">
        <w:rPr>
          <w:lang w:val="en-US"/>
        </w:rPr>
        <w:t>either on its own or through a third-party, collect, hold, or disseminate</w:t>
      </w:r>
      <w:r w:rsidR="009C6FF3" w:rsidRPr="00724858">
        <w:rPr>
          <w:lang w:val="en-US"/>
        </w:rPr>
        <w:t xml:space="preserve"> commercially sensitive information</w:t>
      </w:r>
      <w:r w:rsidR="009C6FF3">
        <w:rPr>
          <w:lang w:val="en-US"/>
        </w:rPr>
        <w:t xml:space="preserve"> to or among </w:t>
      </w:r>
      <w:r w:rsidR="009C6FF3" w:rsidRPr="00724858">
        <w:rPr>
          <w:lang w:val="en-US"/>
        </w:rPr>
        <w:t>members</w:t>
      </w:r>
      <w:r w:rsidR="009C6FF3">
        <w:rPr>
          <w:lang w:val="en-US"/>
        </w:rPr>
        <w:t xml:space="preserve"> in such a manner as to restrict or be capable of restricting competition</w:t>
      </w:r>
      <w:r w:rsidR="009C6FF3" w:rsidRPr="00724858">
        <w:rPr>
          <w:lang w:val="en-US"/>
        </w:rPr>
        <w:t xml:space="preserve"> by reducing strategic uncertainty, enabling </w:t>
      </w:r>
      <w:r w:rsidR="009C6FF3">
        <w:rPr>
          <w:lang w:val="en-US"/>
        </w:rPr>
        <w:t>member</w:t>
      </w:r>
      <w:r w:rsidR="009C6FF3" w:rsidRPr="00724858">
        <w:rPr>
          <w:lang w:val="en-US"/>
        </w:rPr>
        <w:t>s to predict each other's conduct, and diminish</w:t>
      </w:r>
      <w:r w:rsidR="009C6FF3">
        <w:rPr>
          <w:lang w:val="en-US"/>
        </w:rPr>
        <w:t>ing</w:t>
      </w:r>
      <w:r w:rsidR="009C6FF3" w:rsidRPr="00724858">
        <w:rPr>
          <w:lang w:val="en-US"/>
        </w:rPr>
        <w:t xml:space="preserve"> </w:t>
      </w:r>
      <w:r w:rsidR="00D8007F">
        <w:rPr>
          <w:lang w:val="en-US"/>
        </w:rPr>
        <w:t xml:space="preserve">their </w:t>
      </w:r>
      <w:r w:rsidR="009C6FF3" w:rsidRPr="00724858">
        <w:rPr>
          <w:lang w:val="en-US"/>
        </w:rPr>
        <w:t>commercial independence</w:t>
      </w:r>
      <w:r w:rsidR="00D8007F">
        <w:rPr>
          <w:lang w:val="en-US"/>
        </w:rPr>
        <w:t>.</w:t>
      </w:r>
    </w:p>
    <w:p w14:paraId="001F54BC" w14:textId="185793AE" w:rsidR="00271055" w:rsidRPr="007E613A" w:rsidRDefault="00015344" w:rsidP="007E613A">
      <w:pPr>
        <w:pStyle w:val="ListParagraph"/>
        <w:numPr>
          <w:ilvl w:val="1"/>
          <w:numId w:val="18"/>
        </w:numPr>
        <w:spacing w:before="100" w:beforeAutospacing="1" w:after="120" w:afterAutospacing="1" w:line="264" w:lineRule="auto"/>
        <w:ind w:hanging="518"/>
        <w:contextualSpacing w:val="0"/>
        <w:jc w:val="both"/>
        <w:rPr>
          <w:lang w:val="en-US"/>
        </w:rPr>
      </w:pPr>
      <w:r>
        <w:rPr>
          <w:lang w:val="en-US"/>
        </w:rPr>
        <w:t xml:space="preserve">Subject to the </w:t>
      </w:r>
      <w:r w:rsidR="00FC4681">
        <w:rPr>
          <w:lang w:val="en-US"/>
        </w:rPr>
        <w:t>preceding paragraph</w:t>
      </w:r>
      <w:r>
        <w:rPr>
          <w:lang w:val="en-US"/>
        </w:rPr>
        <w:t>, w</w:t>
      </w:r>
      <w:r w:rsidR="00271055" w:rsidRPr="007E613A">
        <w:rPr>
          <w:lang w:val="en-US"/>
        </w:rPr>
        <w:t xml:space="preserve">here industry data is </w:t>
      </w:r>
      <w:r w:rsidR="00D8007F">
        <w:rPr>
          <w:lang w:val="en-US"/>
        </w:rPr>
        <w:t xml:space="preserve">required to be </w:t>
      </w:r>
      <w:r w:rsidR="00271055" w:rsidRPr="007E613A">
        <w:rPr>
          <w:lang w:val="en-US"/>
        </w:rPr>
        <w:t xml:space="preserve">collected or published, </w:t>
      </w:r>
      <w:r w:rsidR="00A92C0C" w:rsidRPr="49BCD8BD">
        <w:rPr>
          <w:lang w:val="en-US"/>
        </w:rPr>
        <w:t>[</w:t>
      </w:r>
      <w:r w:rsidR="00A92C0C" w:rsidRPr="00F724E1">
        <w:rPr>
          <w:i/>
          <w:iCs/>
          <w:highlight w:val="yellow"/>
          <w:lang w:val="en-US"/>
        </w:rPr>
        <w:t>Name of Applicant</w:t>
      </w:r>
      <w:r w:rsidR="00A92C0C" w:rsidRPr="72BDDF93">
        <w:rPr>
          <w:lang w:val="en-US"/>
        </w:rPr>
        <w:t>]</w:t>
      </w:r>
      <w:r w:rsidR="00A92C0C" w:rsidRPr="12127DC9">
        <w:rPr>
          <w:lang w:val="en-US"/>
        </w:rPr>
        <w:t xml:space="preserve"> </w:t>
      </w:r>
      <w:r w:rsidR="00995EC8">
        <w:rPr>
          <w:lang w:val="en-US"/>
        </w:rPr>
        <w:t xml:space="preserve">further </w:t>
      </w:r>
      <w:r w:rsidR="00271055" w:rsidRPr="007E613A">
        <w:rPr>
          <w:lang w:val="en-US"/>
        </w:rPr>
        <w:t>undertakes to ensure</w:t>
      </w:r>
      <w:r w:rsidR="00CB5B55">
        <w:rPr>
          <w:lang w:val="en-US"/>
        </w:rPr>
        <w:t xml:space="preserve"> </w:t>
      </w:r>
      <w:r w:rsidR="00271055" w:rsidRPr="007E613A">
        <w:rPr>
          <w:lang w:val="en-US"/>
        </w:rPr>
        <w:t>that such information is:</w:t>
      </w:r>
    </w:p>
    <w:p w14:paraId="4D026AAA" w14:textId="77777777" w:rsidR="00271055" w:rsidRPr="007E613A" w:rsidRDefault="00271055" w:rsidP="007E613A">
      <w:pPr>
        <w:pStyle w:val="ListParagraph"/>
        <w:numPr>
          <w:ilvl w:val="2"/>
          <w:numId w:val="14"/>
        </w:numPr>
        <w:spacing w:before="100" w:beforeAutospacing="1" w:after="100" w:afterAutospacing="1" w:line="264" w:lineRule="auto"/>
        <w:ind w:left="1800"/>
        <w:jc w:val="both"/>
        <w:rPr>
          <w:lang w:val="en-US"/>
        </w:rPr>
      </w:pPr>
      <w:r w:rsidRPr="007E613A">
        <w:rPr>
          <w:lang w:val="en-US"/>
        </w:rPr>
        <w:t>aggregated;</w:t>
      </w:r>
    </w:p>
    <w:p w14:paraId="70C2E8B4" w14:textId="77777777" w:rsidR="00271055" w:rsidRPr="007E613A" w:rsidRDefault="00271055" w:rsidP="007E613A">
      <w:pPr>
        <w:pStyle w:val="ListParagraph"/>
        <w:numPr>
          <w:ilvl w:val="2"/>
          <w:numId w:val="14"/>
        </w:numPr>
        <w:spacing w:before="100" w:beforeAutospacing="1" w:after="100" w:afterAutospacing="1" w:line="264" w:lineRule="auto"/>
        <w:ind w:left="1800"/>
        <w:jc w:val="both"/>
        <w:rPr>
          <w:lang w:val="en-US"/>
        </w:rPr>
      </w:pPr>
      <w:proofErr w:type="spellStart"/>
      <w:r w:rsidRPr="007E613A">
        <w:rPr>
          <w:lang w:val="en-US"/>
        </w:rPr>
        <w:t>anonymised</w:t>
      </w:r>
      <w:proofErr w:type="spellEnd"/>
      <w:r w:rsidRPr="007E613A">
        <w:rPr>
          <w:lang w:val="en-US"/>
        </w:rPr>
        <w:t>;</w:t>
      </w:r>
    </w:p>
    <w:p w14:paraId="00662DAB" w14:textId="1F6D2FE9" w:rsidR="00271055" w:rsidRPr="007E613A" w:rsidRDefault="00271055" w:rsidP="007E613A">
      <w:pPr>
        <w:pStyle w:val="ListParagraph"/>
        <w:numPr>
          <w:ilvl w:val="2"/>
          <w:numId w:val="14"/>
        </w:numPr>
        <w:spacing w:before="100" w:beforeAutospacing="1" w:after="100" w:afterAutospacing="1" w:line="264" w:lineRule="auto"/>
        <w:ind w:left="1800"/>
        <w:jc w:val="both"/>
        <w:rPr>
          <w:lang w:val="en-US"/>
        </w:rPr>
      </w:pPr>
      <w:r w:rsidRPr="007E613A">
        <w:rPr>
          <w:lang w:val="en-US"/>
        </w:rPr>
        <w:t xml:space="preserve">historical in nature; </w:t>
      </w:r>
    </w:p>
    <w:p w14:paraId="6AF2985D" w14:textId="113C6408" w:rsidR="00271055" w:rsidRDefault="00271055" w:rsidP="007E613A">
      <w:pPr>
        <w:pStyle w:val="ListParagraph"/>
        <w:numPr>
          <w:ilvl w:val="2"/>
          <w:numId w:val="14"/>
        </w:numPr>
        <w:spacing w:before="100" w:beforeAutospacing="1" w:after="240" w:afterAutospacing="1" w:line="264" w:lineRule="auto"/>
        <w:ind w:left="1800"/>
        <w:contextualSpacing w:val="0"/>
        <w:jc w:val="both"/>
        <w:rPr>
          <w:lang w:val="en-US"/>
        </w:rPr>
      </w:pPr>
      <w:r w:rsidRPr="007E613A">
        <w:rPr>
          <w:lang w:val="en-US"/>
        </w:rPr>
        <w:t xml:space="preserve">incapable of identifying </w:t>
      </w:r>
      <w:r w:rsidR="00867099">
        <w:rPr>
          <w:lang w:val="en-US"/>
        </w:rPr>
        <w:t>individual members</w:t>
      </w:r>
      <w:r w:rsidR="00873278">
        <w:rPr>
          <w:lang w:val="en-US"/>
        </w:rPr>
        <w:t xml:space="preserve">’ </w:t>
      </w:r>
      <w:r w:rsidRPr="007E613A">
        <w:rPr>
          <w:lang w:val="en-US"/>
        </w:rPr>
        <w:t>commercial strategies</w:t>
      </w:r>
      <w:r w:rsidR="00FC4681">
        <w:rPr>
          <w:lang w:val="en-US"/>
        </w:rPr>
        <w:t>; and</w:t>
      </w:r>
    </w:p>
    <w:p w14:paraId="7E8AD300" w14:textId="2FD664CC" w:rsidR="00FC4681" w:rsidRDefault="00FC4681" w:rsidP="007E613A">
      <w:pPr>
        <w:pStyle w:val="ListParagraph"/>
        <w:numPr>
          <w:ilvl w:val="2"/>
          <w:numId w:val="14"/>
        </w:numPr>
        <w:spacing w:before="100" w:beforeAutospacing="1" w:after="240" w:afterAutospacing="1" w:line="264" w:lineRule="auto"/>
        <w:ind w:left="1800"/>
        <w:contextualSpacing w:val="0"/>
        <w:jc w:val="both"/>
        <w:rPr>
          <w:lang w:val="en-US"/>
        </w:rPr>
      </w:pPr>
      <w:r>
        <w:rPr>
          <w:lang w:val="en-US"/>
        </w:rPr>
        <w:t>incapable of restricting competition in any form whatsoever among members.</w:t>
      </w:r>
    </w:p>
    <w:p w14:paraId="0BF8B9DF" w14:textId="79186A69" w:rsidR="0079235B" w:rsidRPr="0079235B" w:rsidRDefault="0079235B">
      <w:pPr>
        <w:pStyle w:val="Heading3"/>
        <w:numPr>
          <w:ilvl w:val="0"/>
          <w:numId w:val="12"/>
        </w:numPr>
        <w:spacing w:before="240" w:after="120" w:line="264" w:lineRule="auto"/>
        <w:ind w:left="794" w:firstLine="57"/>
        <w:jc w:val="both"/>
        <w:rPr>
          <w:lang w:val="en-GB"/>
        </w:rPr>
      </w:pPr>
      <w:r>
        <w:rPr>
          <w:lang w:val="en-GB"/>
        </w:rPr>
        <w:t>Internal Dissemination of Proposed Undertakings</w:t>
      </w:r>
    </w:p>
    <w:p w14:paraId="43272912" w14:textId="4129B3F9" w:rsidR="0079235B" w:rsidRPr="007E613A" w:rsidRDefault="00264CBE" w:rsidP="007E613A">
      <w:pPr>
        <w:numPr>
          <w:ilvl w:val="1"/>
          <w:numId w:val="18"/>
        </w:numPr>
        <w:spacing w:before="120" w:after="120" w:line="264" w:lineRule="auto"/>
        <w:ind w:left="788" w:hanging="518"/>
        <w:jc w:val="both"/>
        <w:rPr>
          <w:lang w:val="en-US"/>
        </w:rPr>
      </w:pPr>
      <w:r w:rsidRPr="49BCD8BD">
        <w:rPr>
          <w:lang w:val="en-US"/>
        </w:rPr>
        <w:t>[</w:t>
      </w:r>
      <w:r w:rsidRPr="00F724E1">
        <w:rPr>
          <w:i/>
          <w:iCs/>
          <w:highlight w:val="yellow"/>
          <w:lang w:val="en-US"/>
        </w:rPr>
        <w:t>Name of Applicant</w:t>
      </w:r>
      <w:r w:rsidRPr="72BDDF93">
        <w:rPr>
          <w:lang w:val="en-US"/>
        </w:rPr>
        <w:t>]</w:t>
      </w:r>
      <w:r w:rsidRPr="12127DC9">
        <w:rPr>
          <w:lang w:val="en-US"/>
        </w:rPr>
        <w:t xml:space="preserve"> </w:t>
      </w:r>
      <w:r w:rsidR="0079235B" w:rsidRPr="007E613A">
        <w:rPr>
          <w:lang w:val="en-US"/>
        </w:rPr>
        <w:t>shall take all necessary measures to disseminate</w:t>
      </w:r>
      <w:r w:rsidR="009B04B1">
        <w:rPr>
          <w:lang w:val="en-US"/>
        </w:rPr>
        <w:t>,</w:t>
      </w:r>
      <w:r w:rsidR="0079235B" w:rsidRPr="007E613A">
        <w:rPr>
          <w:lang w:val="en-US"/>
        </w:rPr>
        <w:t xml:space="preserve"> </w:t>
      </w:r>
      <w:r w:rsidR="009B04B1" w:rsidRPr="002E2DB3">
        <w:rPr>
          <w:lang w:val="en-US"/>
        </w:rPr>
        <w:t xml:space="preserve">to </w:t>
      </w:r>
      <w:r w:rsidR="009B04B1">
        <w:rPr>
          <w:lang w:val="en-US"/>
        </w:rPr>
        <w:t xml:space="preserve">its respective officers and its current and future members, </w:t>
      </w:r>
      <w:r w:rsidR="0079235B" w:rsidRPr="007E613A">
        <w:rPr>
          <w:lang w:val="en-US"/>
        </w:rPr>
        <w:t xml:space="preserve">the </w:t>
      </w:r>
      <w:r w:rsidR="0079235B">
        <w:rPr>
          <w:lang w:val="en-US"/>
        </w:rPr>
        <w:t xml:space="preserve">Proposed </w:t>
      </w:r>
      <w:r w:rsidR="0079235B" w:rsidRPr="007E613A">
        <w:rPr>
          <w:lang w:val="en-US"/>
        </w:rPr>
        <w:t>Undertakings</w:t>
      </w:r>
      <w:r w:rsidR="00D514CE">
        <w:rPr>
          <w:lang w:val="en-US"/>
        </w:rPr>
        <w:t xml:space="preserve"> as well</w:t>
      </w:r>
      <w:r w:rsidR="0079235B" w:rsidRPr="007E613A">
        <w:rPr>
          <w:lang w:val="en-US"/>
        </w:rPr>
        <w:t xml:space="preserve"> </w:t>
      </w:r>
      <w:r w:rsidR="00406048">
        <w:rPr>
          <w:lang w:val="en-US"/>
        </w:rPr>
        <w:t>a</w:t>
      </w:r>
      <w:r w:rsidR="00AE2195">
        <w:rPr>
          <w:lang w:val="en-US"/>
        </w:rPr>
        <w:t xml:space="preserve">s any </w:t>
      </w:r>
      <w:r w:rsidR="00D514CE">
        <w:rPr>
          <w:lang w:val="en-US"/>
        </w:rPr>
        <w:t xml:space="preserve">other measures made binding upon it by the </w:t>
      </w:r>
      <w:r w:rsidR="6046ECC3" w:rsidRPr="6046ECC3">
        <w:rPr>
          <w:lang w:val="en-US"/>
        </w:rPr>
        <w:t>Commission</w:t>
      </w:r>
      <w:r w:rsidR="00D514CE">
        <w:rPr>
          <w:lang w:val="en-US"/>
        </w:rPr>
        <w:t xml:space="preserve"> </w:t>
      </w:r>
      <w:r w:rsidR="009B04B1">
        <w:rPr>
          <w:lang w:val="en-US"/>
        </w:rPr>
        <w:t>in order to</w:t>
      </w:r>
      <w:r w:rsidR="0079235B" w:rsidRPr="007E613A">
        <w:rPr>
          <w:lang w:val="en-US"/>
        </w:rPr>
        <w:t xml:space="preserve"> ensure that </w:t>
      </w:r>
      <w:r w:rsidR="00953336">
        <w:rPr>
          <w:lang w:val="en-US"/>
        </w:rPr>
        <w:t xml:space="preserve">the </w:t>
      </w:r>
      <w:r w:rsidR="009B04B1">
        <w:rPr>
          <w:lang w:val="en-US"/>
        </w:rPr>
        <w:t xml:space="preserve">Proposed </w:t>
      </w:r>
      <w:r w:rsidR="00953336">
        <w:rPr>
          <w:lang w:val="en-US"/>
        </w:rPr>
        <w:t>Undertakings</w:t>
      </w:r>
      <w:r w:rsidR="0079235B" w:rsidRPr="007E613A">
        <w:rPr>
          <w:lang w:val="en-US"/>
        </w:rPr>
        <w:t xml:space="preserve"> </w:t>
      </w:r>
      <w:r w:rsidR="009B04B1">
        <w:rPr>
          <w:lang w:val="en-US"/>
        </w:rPr>
        <w:t xml:space="preserve">and Commission’s directions </w:t>
      </w:r>
      <w:r w:rsidR="0079235B" w:rsidRPr="007E613A">
        <w:rPr>
          <w:lang w:val="en-US"/>
        </w:rPr>
        <w:t xml:space="preserve">are understood </w:t>
      </w:r>
      <w:r w:rsidR="009B04B1">
        <w:rPr>
          <w:lang w:val="en-US"/>
        </w:rPr>
        <w:t xml:space="preserve">by </w:t>
      </w:r>
      <w:r w:rsidR="0079235B" w:rsidRPr="007E613A">
        <w:rPr>
          <w:lang w:val="en-US"/>
        </w:rPr>
        <w:t xml:space="preserve">and complied with by them in their dealings with </w:t>
      </w:r>
      <w:r w:rsidR="00964576" w:rsidRPr="49BCD8BD">
        <w:rPr>
          <w:lang w:val="en-US"/>
        </w:rPr>
        <w:t>[</w:t>
      </w:r>
      <w:r w:rsidR="00964576" w:rsidRPr="00F724E1">
        <w:rPr>
          <w:i/>
          <w:iCs/>
          <w:highlight w:val="yellow"/>
          <w:lang w:val="en-US"/>
        </w:rPr>
        <w:t>Name of Applicant</w:t>
      </w:r>
      <w:r w:rsidR="00964576" w:rsidRPr="72BDDF93">
        <w:rPr>
          <w:lang w:val="en-US"/>
        </w:rPr>
        <w:t>]</w:t>
      </w:r>
      <w:r w:rsidR="00964576" w:rsidRPr="12127DC9">
        <w:rPr>
          <w:lang w:val="en-US"/>
        </w:rPr>
        <w:t xml:space="preserve"> </w:t>
      </w:r>
      <w:r w:rsidR="00953336">
        <w:rPr>
          <w:lang w:val="en-US"/>
        </w:rPr>
        <w:t xml:space="preserve">as well as with </w:t>
      </w:r>
      <w:r w:rsidR="0079235B" w:rsidRPr="007E613A">
        <w:rPr>
          <w:lang w:val="en-US"/>
        </w:rPr>
        <w:t xml:space="preserve">other </w:t>
      </w:r>
      <w:r w:rsidR="00953336">
        <w:rPr>
          <w:lang w:val="en-US"/>
        </w:rPr>
        <w:t>m</w:t>
      </w:r>
      <w:r w:rsidR="0079235B" w:rsidRPr="007E613A">
        <w:rPr>
          <w:lang w:val="en-US"/>
        </w:rPr>
        <w:t>embers.</w:t>
      </w:r>
    </w:p>
    <w:p w14:paraId="36D8DFF1" w14:textId="42191A6B" w:rsidR="00C0138F" w:rsidRPr="007E613A" w:rsidRDefault="00C0138F" w:rsidP="007E613A">
      <w:pPr>
        <w:pStyle w:val="Heading3"/>
        <w:numPr>
          <w:ilvl w:val="0"/>
          <w:numId w:val="12"/>
        </w:numPr>
        <w:spacing w:before="240" w:after="120" w:line="264" w:lineRule="auto"/>
        <w:ind w:left="709" w:firstLine="57"/>
        <w:jc w:val="both"/>
        <w:rPr>
          <w:lang w:val="en-GB"/>
        </w:rPr>
      </w:pPr>
      <w:bookmarkStart w:id="7" w:name="_Toc484426997"/>
      <w:bookmarkStart w:id="8" w:name="_Toc358011228"/>
      <w:r w:rsidRPr="007E613A">
        <w:rPr>
          <w:lang w:val="en-GB"/>
        </w:rPr>
        <w:t>Reporting</w:t>
      </w:r>
      <w:bookmarkEnd w:id="7"/>
      <w:bookmarkEnd w:id="8"/>
      <w:r w:rsidR="00AC5AFD" w:rsidRPr="007E613A">
        <w:rPr>
          <w:lang w:val="en-GB"/>
        </w:rPr>
        <w:t xml:space="preserve"> Obligations</w:t>
      </w:r>
    </w:p>
    <w:p w14:paraId="293F95FB" w14:textId="7A2887E0" w:rsidR="005A5812" w:rsidRPr="007E613A" w:rsidRDefault="008A637A" w:rsidP="6CA03AC2">
      <w:pPr>
        <w:pStyle w:val="ListParagraph"/>
        <w:numPr>
          <w:ilvl w:val="1"/>
          <w:numId w:val="18"/>
        </w:numPr>
        <w:spacing w:after="120" w:line="264" w:lineRule="auto"/>
        <w:ind w:left="720" w:hanging="518"/>
        <w:contextualSpacing w:val="0"/>
        <w:jc w:val="both"/>
        <w:rPr>
          <w:lang w:val="en-GB"/>
        </w:rPr>
      </w:pPr>
      <w:r w:rsidRPr="49BCD8BD">
        <w:rPr>
          <w:lang w:val="en-US"/>
        </w:rPr>
        <w:t>[</w:t>
      </w:r>
      <w:r w:rsidRPr="00F724E1">
        <w:rPr>
          <w:i/>
          <w:iCs/>
          <w:highlight w:val="yellow"/>
          <w:lang w:val="en-US"/>
        </w:rPr>
        <w:t>Name of Applicant</w:t>
      </w:r>
      <w:r w:rsidRPr="72BDDF93">
        <w:rPr>
          <w:lang w:val="en-US"/>
        </w:rPr>
        <w:t>]</w:t>
      </w:r>
      <w:r w:rsidRPr="12127DC9">
        <w:rPr>
          <w:lang w:val="en-US"/>
        </w:rPr>
        <w:t xml:space="preserve"> </w:t>
      </w:r>
      <w:r w:rsidR="005A5812" w:rsidRPr="49327517">
        <w:rPr>
          <w:rFonts w:cstheme="minorHAnsi"/>
          <w:lang w:val="en-GB"/>
        </w:rPr>
        <w:t xml:space="preserve">shall immediately inform the </w:t>
      </w:r>
      <w:r w:rsidR="003220E8" w:rsidRPr="49327517">
        <w:rPr>
          <w:rFonts w:cstheme="minorHAnsi"/>
          <w:lang w:val="en-GB"/>
        </w:rPr>
        <w:t xml:space="preserve">Competition </w:t>
      </w:r>
      <w:r w:rsidR="005A5812" w:rsidRPr="49327517">
        <w:rPr>
          <w:rFonts w:cstheme="minorHAnsi"/>
          <w:lang w:val="en-GB"/>
        </w:rPr>
        <w:t>Commission, in writing, of any</w:t>
      </w:r>
      <w:r w:rsidR="00357B23">
        <w:rPr>
          <w:lang w:val="en-US"/>
        </w:rPr>
        <w:t xml:space="preserve"> </w:t>
      </w:r>
      <w:r w:rsidR="005A5812" w:rsidRPr="007E613A">
        <w:rPr>
          <w:rFonts w:cstheme="minorHAnsi"/>
          <w:lang w:val="en-GB"/>
        </w:rPr>
        <w:t>attempt</w:t>
      </w:r>
      <w:r w:rsidR="00357B23">
        <w:rPr>
          <w:lang w:val="en-US"/>
        </w:rPr>
        <w:t>,</w:t>
      </w:r>
      <w:r w:rsidR="005A5812" w:rsidRPr="007E613A">
        <w:rPr>
          <w:rFonts w:cstheme="minorHAnsi"/>
          <w:lang w:val="en-GB"/>
        </w:rPr>
        <w:t xml:space="preserve"> </w:t>
      </w:r>
      <w:r w:rsidR="623C9BC3" w:rsidRPr="007E613A">
        <w:rPr>
          <w:lang w:val="en-GB"/>
        </w:rPr>
        <w:t>on</w:t>
      </w:r>
      <w:r w:rsidR="00525178" w:rsidRPr="007E613A">
        <w:rPr>
          <w:rFonts w:cstheme="minorHAnsi"/>
          <w:lang w:val="en-GB"/>
        </w:rPr>
        <w:t xml:space="preserve"> the part of its members</w:t>
      </w:r>
      <w:r w:rsidR="002E75F6" w:rsidRPr="007E613A">
        <w:rPr>
          <w:rFonts w:cstheme="minorHAnsi"/>
          <w:lang w:val="en-GB"/>
        </w:rPr>
        <w:t xml:space="preserve"> or group thereof</w:t>
      </w:r>
      <w:r w:rsidR="005A5812" w:rsidRPr="007E613A">
        <w:rPr>
          <w:rFonts w:cstheme="minorHAnsi"/>
          <w:lang w:val="en-GB"/>
        </w:rPr>
        <w:t xml:space="preserve">, whether directly or indirectly, to </w:t>
      </w:r>
      <w:r w:rsidR="000705C1">
        <w:rPr>
          <w:lang w:val="en-US"/>
        </w:rPr>
        <w:t xml:space="preserve">enter into agreements, concert upon, </w:t>
      </w:r>
      <w:r w:rsidR="008C611E">
        <w:rPr>
          <w:lang w:val="en-US"/>
        </w:rPr>
        <w:t>coordinate or discuss</w:t>
      </w:r>
      <w:r w:rsidR="002E75F6" w:rsidRPr="007E613A">
        <w:rPr>
          <w:rFonts w:cstheme="minorHAnsi"/>
          <w:lang w:val="en-GB"/>
        </w:rPr>
        <w:t xml:space="preserve"> their commercial strategies </w:t>
      </w:r>
      <w:r w:rsidR="5C4E4719" w:rsidRPr="007E613A">
        <w:rPr>
          <w:lang w:val="en-GB"/>
        </w:rPr>
        <w:t>or</w:t>
      </w:r>
      <w:r w:rsidR="002E75F6" w:rsidRPr="007E613A">
        <w:rPr>
          <w:rFonts w:cstheme="minorHAnsi"/>
          <w:lang w:val="en-GB"/>
        </w:rPr>
        <w:t xml:space="preserve"> </w:t>
      </w:r>
      <w:r w:rsidR="000705C1">
        <w:rPr>
          <w:lang w:val="en-US"/>
        </w:rPr>
        <w:t xml:space="preserve">otherwise, </w:t>
      </w:r>
      <w:r w:rsidR="008C611E">
        <w:rPr>
          <w:lang w:val="en-US"/>
        </w:rPr>
        <w:t xml:space="preserve">to </w:t>
      </w:r>
      <w:r w:rsidR="002E75F6" w:rsidRPr="49327517">
        <w:rPr>
          <w:rFonts w:cstheme="minorHAnsi"/>
          <w:lang w:val="en-GB"/>
        </w:rPr>
        <w:t xml:space="preserve">exchange </w:t>
      </w:r>
      <w:r w:rsidR="005A5812" w:rsidRPr="49327517">
        <w:rPr>
          <w:rFonts w:cstheme="minorHAnsi"/>
          <w:lang w:val="en-GB"/>
        </w:rPr>
        <w:t xml:space="preserve">competitively sensitive </w:t>
      </w:r>
      <w:r w:rsidR="546752CB" w:rsidRPr="52A1C251">
        <w:rPr>
          <w:lang w:val="en-GB"/>
        </w:rPr>
        <w:t>information</w:t>
      </w:r>
      <w:r w:rsidR="005A5812" w:rsidRPr="49327517">
        <w:rPr>
          <w:rFonts w:cstheme="minorHAnsi"/>
          <w:lang w:val="en-GB"/>
        </w:rPr>
        <w:t xml:space="preserve">, and shall </w:t>
      </w:r>
      <w:r w:rsidR="4789D64E" w:rsidRPr="4789D64E">
        <w:rPr>
          <w:lang w:val="en-US"/>
        </w:rPr>
        <w:t>forthwith</w:t>
      </w:r>
      <w:r w:rsidR="00D76CA4">
        <w:rPr>
          <w:lang w:val="en-US"/>
        </w:rPr>
        <w:t xml:space="preserve"> </w:t>
      </w:r>
      <w:r w:rsidR="005A5812" w:rsidRPr="49327517">
        <w:rPr>
          <w:rFonts w:cstheme="minorHAnsi"/>
          <w:lang w:val="en-GB"/>
        </w:rPr>
        <w:t xml:space="preserve">provide the </w:t>
      </w:r>
      <w:r w:rsidR="002E75F6" w:rsidRPr="49327517">
        <w:rPr>
          <w:rFonts w:cstheme="minorHAnsi"/>
          <w:lang w:val="en-GB"/>
        </w:rPr>
        <w:t xml:space="preserve">Competition </w:t>
      </w:r>
      <w:r w:rsidR="005A5812" w:rsidRPr="49327517">
        <w:rPr>
          <w:rFonts w:cstheme="minorHAnsi"/>
          <w:lang w:val="en-GB"/>
        </w:rPr>
        <w:t>Commission with all documents, information and evidence available to it in support thereof</w:t>
      </w:r>
      <w:r w:rsidR="00655FA5">
        <w:rPr>
          <w:lang w:val="en-US"/>
        </w:rPr>
        <w:t>.</w:t>
      </w:r>
    </w:p>
    <w:p w14:paraId="39FDC12D" w14:textId="5B0FA1A1" w:rsidR="00C0138F" w:rsidRDefault="007C0B4F" w:rsidP="3A6A2952">
      <w:pPr>
        <w:numPr>
          <w:ilvl w:val="1"/>
          <w:numId w:val="18"/>
        </w:numPr>
        <w:spacing w:after="120" w:line="264" w:lineRule="auto"/>
        <w:ind w:left="720" w:hanging="518"/>
        <w:jc w:val="both"/>
        <w:rPr>
          <w:lang w:val="en-GB"/>
        </w:rPr>
      </w:pPr>
      <w:r w:rsidRPr="007E613A">
        <w:rPr>
          <w:highlight w:val="yellow"/>
          <w:lang w:val="en-GB"/>
        </w:rPr>
        <w:t xml:space="preserve"> </w:t>
      </w:r>
      <w:r w:rsidR="435F18AE" w:rsidRPr="007E613A">
        <w:rPr>
          <w:i/>
          <w:iCs/>
          <w:highlight w:val="yellow"/>
          <w:lang w:val="en-GB"/>
        </w:rPr>
        <w:t>[</w:t>
      </w:r>
      <w:r w:rsidR="4FD1EE50" w:rsidRPr="007E613A">
        <w:rPr>
          <w:i/>
          <w:iCs/>
          <w:highlight w:val="yellow"/>
          <w:lang w:val="en-GB"/>
        </w:rPr>
        <w:t xml:space="preserve">Name </w:t>
      </w:r>
      <w:r w:rsidR="435F18AE" w:rsidRPr="007E613A">
        <w:rPr>
          <w:i/>
          <w:iCs/>
          <w:highlight w:val="yellow"/>
          <w:lang w:val="en-GB"/>
        </w:rPr>
        <w:t>of Applicant</w:t>
      </w:r>
      <w:r w:rsidR="72EAC018" w:rsidRPr="007E613A">
        <w:rPr>
          <w:highlight w:val="yellow"/>
          <w:lang w:val="en-GB"/>
        </w:rPr>
        <w:t>]</w:t>
      </w:r>
      <w:r w:rsidR="00C0138F" w:rsidRPr="00DA7033">
        <w:rPr>
          <w:lang w:val="en-GB"/>
        </w:rPr>
        <w:t xml:space="preserve"> shall, </w:t>
      </w:r>
      <w:r w:rsidR="008C2337" w:rsidRPr="0039033D">
        <w:rPr>
          <w:lang w:val="en-GB"/>
        </w:rPr>
        <w:t xml:space="preserve">within </w:t>
      </w:r>
      <w:r w:rsidR="008C2337" w:rsidRPr="1763060F">
        <w:rPr>
          <w:b/>
          <w:bCs/>
          <w:lang w:val="en-GB"/>
        </w:rPr>
        <w:t>3</w:t>
      </w:r>
      <w:r w:rsidR="008C2337" w:rsidRPr="007E613A">
        <w:rPr>
          <w:lang w:val="en-GB"/>
        </w:rPr>
        <w:t xml:space="preserve"> months</w:t>
      </w:r>
      <w:r w:rsidR="008C2337" w:rsidDel="00E06D81">
        <w:rPr>
          <w:lang w:val="en-GB"/>
        </w:rPr>
        <w:t xml:space="preserve"> </w:t>
      </w:r>
      <w:r w:rsidR="00E06D81">
        <w:rPr>
          <w:lang w:val="en-GB"/>
        </w:rPr>
        <w:t xml:space="preserve">from </w:t>
      </w:r>
      <w:r w:rsidR="008C2337">
        <w:rPr>
          <w:lang w:val="en-GB"/>
        </w:rPr>
        <w:t xml:space="preserve">the date </w:t>
      </w:r>
      <w:r w:rsidR="0039033D">
        <w:rPr>
          <w:lang w:val="en-GB"/>
        </w:rPr>
        <w:t xml:space="preserve">on which the Commission </w:t>
      </w:r>
      <w:r w:rsidR="49327517" w:rsidRPr="49327517">
        <w:rPr>
          <w:lang w:val="en-GB"/>
        </w:rPr>
        <w:t>notifies</w:t>
      </w:r>
      <w:r w:rsidR="00F30383">
        <w:rPr>
          <w:lang w:val="en-GB"/>
        </w:rPr>
        <w:t xml:space="preserve"> </w:t>
      </w:r>
      <w:r w:rsidR="001C6A28" w:rsidRPr="49BCD8BD">
        <w:rPr>
          <w:lang w:val="en-US"/>
        </w:rPr>
        <w:t>[</w:t>
      </w:r>
      <w:r w:rsidR="001C6A28" w:rsidRPr="00F724E1">
        <w:rPr>
          <w:i/>
          <w:iCs/>
          <w:highlight w:val="yellow"/>
          <w:lang w:val="en-US"/>
        </w:rPr>
        <w:t>Name of Applicant</w:t>
      </w:r>
      <w:r w:rsidR="001C6A28" w:rsidRPr="72BDDF93">
        <w:rPr>
          <w:lang w:val="en-US"/>
        </w:rPr>
        <w:t>]</w:t>
      </w:r>
      <w:r w:rsidR="001C6A28" w:rsidRPr="12127DC9">
        <w:rPr>
          <w:lang w:val="en-US"/>
        </w:rPr>
        <w:t xml:space="preserve"> </w:t>
      </w:r>
      <w:r w:rsidR="00F30383">
        <w:rPr>
          <w:lang w:val="en-GB"/>
        </w:rPr>
        <w:t xml:space="preserve">of its decision to accept </w:t>
      </w:r>
      <w:r>
        <w:rPr>
          <w:lang w:val="en-GB"/>
        </w:rPr>
        <w:t xml:space="preserve">its </w:t>
      </w:r>
      <w:r w:rsidR="1501A97C" w:rsidRPr="1501A97C">
        <w:rPr>
          <w:lang w:val="en-GB"/>
        </w:rPr>
        <w:t>Proposed</w:t>
      </w:r>
      <w:r>
        <w:rPr>
          <w:lang w:val="en-GB"/>
        </w:rPr>
        <w:t xml:space="preserve"> U</w:t>
      </w:r>
      <w:r w:rsidR="008C2337">
        <w:rPr>
          <w:lang w:val="en-GB"/>
        </w:rPr>
        <w:t>ndertakings</w:t>
      </w:r>
      <w:r w:rsidR="00C0138F" w:rsidRPr="00DA7033">
        <w:rPr>
          <w:lang w:val="en-GB"/>
        </w:rPr>
        <w:t>,</w:t>
      </w:r>
      <w:r w:rsidR="00F20E93">
        <w:rPr>
          <w:lang w:val="en-GB"/>
        </w:rPr>
        <w:t xml:space="preserve"> including any </w:t>
      </w:r>
      <w:r w:rsidR="00722BFB">
        <w:rPr>
          <w:lang w:val="en-GB"/>
        </w:rPr>
        <w:t xml:space="preserve">Commission </w:t>
      </w:r>
      <w:r w:rsidR="00A74FAF" w:rsidRPr="00A74FAF">
        <w:rPr>
          <w:lang w:val="en-US"/>
        </w:rPr>
        <w:t>direction</w:t>
      </w:r>
      <w:r w:rsidR="00FC4681">
        <w:rPr>
          <w:lang w:val="en-US"/>
        </w:rPr>
        <w:t xml:space="preserve"> imposed</w:t>
      </w:r>
      <w:r w:rsidR="00A74FAF" w:rsidRPr="00A74FAF">
        <w:rPr>
          <w:lang w:val="en-US"/>
        </w:rPr>
        <w:t xml:space="preserve"> in addition to or other than the </w:t>
      </w:r>
      <w:r w:rsidR="00A74FAF">
        <w:rPr>
          <w:lang w:val="en-US"/>
        </w:rPr>
        <w:t>Proposed U</w:t>
      </w:r>
      <w:r w:rsidR="00A74FAF" w:rsidRPr="00A74FAF">
        <w:rPr>
          <w:lang w:val="en-US"/>
        </w:rPr>
        <w:t>ndertakings</w:t>
      </w:r>
      <w:r w:rsidR="002A2BA1">
        <w:rPr>
          <w:lang w:val="en-US"/>
        </w:rPr>
        <w:t xml:space="preserve">, submit a written </w:t>
      </w:r>
      <w:r w:rsidR="00F753A0" w:rsidRPr="007E613A">
        <w:rPr>
          <w:b/>
          <w:bCs/>
          <w:lang w:val="en-US"/>
        </w:rPr>
        <w:t xml:space="preserve">compliance </w:t>
      </w:r>
      <w:r w:rsidR="002A2BA1" w:rsidRPr="007E613A">
        <w:rPr>
          <w:b/>
          <w:bCs/>
          <w:lang w:val="en-US"/>
        </w:rPr>
        <w:t>report</w:t>
      </w:r>
      <w:r w:rsidR="002A2BA1">
        <w:rPr>
          <w:lang w:val="en-US"/>
        </w:rPr>
        <w:t xml:space="preserve"> to the Commission that </w:t>
      </w:r>
      <w:r w:rsidR="00976B8C">
        <w:rPr>
          <w:lang w:val="en-GB"/>
        </w:rPr>
        <w:t>describes t</w:t>
      </w:r>
      <w:r w:rsidR="00976B8C" w:rsidRPr="00DA7033">
        <w:rPr>
          <w:lang w:val="en-GB"/>
        </w:rPr>
        <w:t xml:space="preserve">he steps taken by </w:t>
      </w:r>
      <w:r w:rsidR="00515BEC" w:rsidRPr="49BCD8BD">
        <w:rPr>
          <w:lang w:val="en-US"/>
        </w:rPr>
        <w:t>[</w:t>
      </w:r>
      <w:r w:rsidR="00515BEC" w:rsidRPr="00F724E1">
        <w:rPr>
          <w:i/>
          <w:iCs/>
          <w:highlight w:val="yellow"/>
          <w:lang w:val="en-US"/>
        </w:rPr>
        <w:t>Name of Applicant</w:t>
      </w:r>
      <w:r w:rsidR="00515BEC" w:rsidRPr="72BDDF93">
        <w:rPr>
          <w:lang w:val="en-US"/>
        </w:rPr>
        <w:t>]</w:t>
      </w:r>
      <w:r w:rsidR="00515BEC" w:rsidRPr="12127DC9">
        <w:rPr>
          <w:lang w:val="en-US"/>
        </w:rPr>
        <w:t xml:space="preserve"> </w:t>
      </w:r>
      <w:r w:rsidR="00976B8C" w:rsidRPr="00DA7033">
        <w:rPr>
          <w:lang w:val="en-GB"/>
        </w:rPr>
        <w:t xml:space="preserve">to </w:t>
      </w:r>
      <w:r w:rsidR="00A74FAF">
        <w:rPr>
          <w:lang w:val="en-US"/>
        </w:rPr>
        <w:t>-</w:t>
      </w:r>
    </w:p>
    <w:p w14:paraId="52BAE620" w14:textId="6DA548B4" w:rsidR="00CC0509" w:rsidRDefault="00C0138F">
      <w:pPr>
        <w:pStyle w:val="ListParagraph"/>
        <w:numPr>
          <w:ilvl w:val="0"/>
          <w:numId w:val="9"/>
        </w:numPr>
        <w:spacing w:before="120" w:after="80" w:line="264" w:lineRule="auto"/>
        <w:ind w:left="1423" w:hanging="357"/>
        <w:contextualSpacing w:val="0"/>
        <w:jc w:val="both"/>
        <w:rPr>
          <w:lang w:val="en-GB"/>
        </w:rPr>
      </w:pPr>
      <w:r w:rsidRPr="00DA7033">
        <w:rPr>
          <w:lang w:val="en-GB"/>
        </w:rPr>
        <w:t>comply with the</w:t>
      </w:r>
      <w:r w:rsidRPr="00DA7033" w:rsidDel="00B9715A">
        <w:rPr>
          <w:lang w:val="en-GB"/>
        </w:rPr>
        <w:t xml:space="preserve"> </w:t>
      </w:r>
      <w:r w:rsidR="00B9715A">
        <w:rPr>
          <w:lang w:val="en-GB"/>
        </w:rPr>
        <w:t xml:space="preserve">Proposed </w:t>
      </w:r>
      <w:r w:rsidR="57FFDF80" w:rsidRPr="57FFDF80">
        <w:rPr>
          <w:lang w:val="en-GB"/>
        </w:rPr>
        <w:t>Undertakings</w:t>
      </w:r>
      <w:r w:rsidR="003E0B0E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FC4681">
        <w:rPr>
          <w:lang w:val="en-GB"/>
        </w:rPr>
        <w:t xml:space="preserve">the Commission’s directions </w:t>
      </w:r>
      <w:r>
        <w:rPr>
          <w:lang w:val="en-GB"/>
        </w:rPr>
        <w:t xml:space="preserve">in particular, setting out all the appropriate measures taken by </w:t>
      </w:r>
      <w:r w:rsidRPr="007E613A" w:rsidDel="002A2711">
        <w:rPr>
          <w:highlight w:val="yellow"/>
          <w:lang w:val="en-GB"/>
        </w:rPr>
        <w:t>[</w:t>
      </w:r>
      <w:r w:rsidRPr="007E613A" w:rsidDel="002A2711">
        <w:rPr>
          <w:i/>
          <w:iCs/>
          <w:highlight w:val="yellow"/>
          <w:lang w:val="en-GB"/>
        </w:rPr>
        <w:t xml:space="preserve">Name of </w:t>
      </w:r>
      <w:r w:rsidR="00FC4681">
        <w:rPr>
          <w:rStyle w:val="Emphasis"/>
          <w:highlight w:val="yellow"/>
          <w:lang w:val="en-US"/>
        </w:rPr>
        <w:t>A</w:t>
      </w:r>
      <w:r w:rsidR="00952327" w:rsidRPr="007E613A" w:rsidDel="002A2711">
        <w:rPr>
          <w:rStyle w:val="Emphasis"/>
          <w:highlight w:val="yellow"/>
          <w:lang w:val="en-US"/>
        </w:rPr>
        <w:t>pplicant</w:t>
      </w:r>
      <w:r w:rsidDel="002A2711">
        <w:rPr>
          <w:lang w:val="en-GB"/>
        </w:rPr>
        <w:t xml:space="preserve">] </w:t>
      </w:r>
      <w:r>
        <w:rPr>
          <w:lang w:val="en-GB"/>
        </w:rPr>
        <w:t>to deter</w:t>
      </w:r>
      <w:r w:rsidR="00CF28DF">
        <w:rPr>
          <w:lang w:val="en-GB"/>
        </w:rPr>
        <w:t xml:space="preserve">, </w:t>
      </w:r>
      <w:r>
        <w:rPr>
          <w:lang w:val="en-GB"/>
        </w:rPr>
        <w:t>detect</w:t>
      </w:r>
      <w:r w:rsidRPr="00D9567D">
        <w:rPr>
          <w:lang w:val="en-GB"/>
        </w:rPr>
        <w:t xml:space="preserve"> </w:t>
      </w:r>
      <w:r>
        <w:rPr>
          <w:lang w:val="en-GB"/>
        </w:rPr>
        <w:t xml:space="preserve">and correct any deviation by </w:t>
      </w:r>
      <w:r w:rsidR="00FD084D">
        <w:rPr>
          <w:lang w:val="en-GB"/>
        </w:rPr>
        <w:t xml:space="preserve">its </w:t>
      </w:r>
      <w:r w:rsidR="00952327">
        <w:rPr>
          <w:lang w:val="en-GB"/>
        </w:rPr>
        <w:t xml:space="preserve">members </w:t>
      </w:r>
      <w:r>
        <w:rPr>
          <w:lang w:val="en-GB"/>
        </w:rPr>
        <w:t xml:space="preserve">from the </w:t>
      </w:r>
      <w:r w:rsidR="3321E7BB" w:rsidRPr="3321E7BB">
        <w:rPr>
          <w:lang w:val="en-GB"/>
        </w:rPr>
        <w:t>Proposed</w:t>
      </w:r>
      <w:r w:rsidR="00CD4455">
        <w:rPr>
          <w:lang w:val="en-GB"/>
        </w:rPr>
        <w:t xml:space="preserve"> Undertakings</w:t>
      </w:r>
      <w:r>
        <w:rPr>
          <w:lang w:val="en-GB"/>
        </w:rPr>
        <w:t>;</w:t>
      </w:r>
      <w:r w:rsidR="009D25CD">
        <w:rPr>
          <w:lang w:val="en-GB"/>
        </w:rPr>
        <w:t xml:space="preserve"> </w:t>
      </w:r>
      <w:r w:rsidR="007F22CF">
        <w:rPr>
          <w:lang w:val="en-GB"/>
        </w:rPr>
        <w:t>and</w:t>
      </w:r>
    </w:p>
    <w:p w14:paraId="56E8B14A" w14:textId="1A1B54B8" w:rsidR="00C0138F" w:rsidRDefault="00DA4BCA">
      <w:pPr>
        <w:pStyle w:val="ListParagraph"/>
        <w:numPr>
          <w:ilvl w:val="0"/>
          <w:numId w:val="9"/>
        </w:numPr>
        <w:spacing w:before="120" w:after="80" w:line="264" w:lineRule="auto"/>
        <w:ind w:left="1423" w:hanging="357"/>
        <w:contextualSpacing w:val="0"/>
        <w:jc w:val="both"/>
        <w:rPr>
          <w:lang w:val="en-GB"/>
        </w:rPr>
      </w:pPr>
      <w:r>
        <w:rPr>
          <w:lang w:val="en-GB"/>
        </w:rPr>
        <w:lastRenderedPageBreak/>
        <w:t xml:space="preserve">disseminate and make known </w:t>
      </w:r>
      <w:r w:rsidR="00E2291E">
        <w:rPr>
          <w:lang w:val="en-GB"/>
        </w:rPr>
        <w:t xml:space="preserve">to its officers as well as current and future members, </w:t>
      </w:r>
      <w:r>
        <w:rPr>
          <w:lang w:val="en-GB"/>
        </w:rPr>
        <w:t>the Commission’s directions</w:t>
      </w:r>
      <w:r w:rsidR="00CD4455">
        <w:rPr>
          <w:lang w:val="en-GB"/>
        </w:rPr>
        <w:t xml:space="preserve"> </w:t>
      </w:r>
      <w:r w:rsidR="00E2291E">
        <w:rPr>
          <w:lang w:val="en-GB"/>
        </w:rPr>
        <w:t xml:space="preserve">issued </w:t>
      </w:r>
      <w:r w:rsidR="00650FC2">
        <w:rPr>
          <w:lang w:val="en-GB"/>
        </w:rPr>
        <w:t xml:space="preserve">to </w:t>
      </w:r>
      <w:r w:rsidR="3B9A0EB2" w:rsidRPr="3B9A0EB2">
        <w:rPr>
          <w:lang w:val="en-GB"/>
        </w:rPr>
        <w:t>[</w:t>
      </w:r>
      <w:r w:rsidR="3B9A0EB2" w:rsidRPr="007E613A">
        <w:rPr>
          <w:i/>
          <w:iCs/>
          <w:highlight w:val="yellow"/>
          <w:lang w:val="en-GB"/>
        </w:rPr>
        <w:t>Name</w:t>
      </w:r>
      <w:r w:rsidR="5F173759" w:rsidRPr="007E613A">
        <w:rPr>
          <w:i/>
          <w:iCs/>
          <w:highlight w:val="yellow"/>
          <w:lang w:val="en-GB"/>
        </w:rPr>
        <w:t xml:space="preserve"> of</w:t>
      </w:r>
      <w:r w:rsidR="00650FC2" w:rsidRPr="007E613A">
        <w:rPr>
          <w:i/>
          <w:iCs/>
          <w:highlight w:val="yellow"/>
          <w:lang w:val="en-GB"/>
        </w:rPr>
        <w:t xml:space="preserve"> </w:t>
      </w:r>
      <w:r w:rsidR="587CFDA4" w:rsidRPr="007E613A">
        <w:rPr>
          <w:i/>
          <w:iCs/>
          <w:highlight w:val="yellow"/>
          <w:lang w:val="en-GB"/>
        </w:rPr>
        <w:t>Applicant</w:t>
      </w:r>
      <w:r w:rsidR="587CFDA4" w:rsidRPr="587CFDA4">
        <w:rPr>
          <w:lang w:val="en-GB"/>
        </w:rPr>
        <w:t>]</w:t>
      </w:r>
      <w:r w:rsidR="51E0BC4B" w:rsidRPr="51E0BC4B">
        <w:rPr>
          <w:lang w:val="en-GB"/>
        </w:rPr>
        <w:t xml:space="preserve"> </w:t>
      </w:r>
      <w:r w:rsidR="00CD4455">
        <w:rPr>
          <w:lang w:val="en-GB"/>
        </w:rPr>
        <w:t>pursuant to</w:t>
      </w:r>
      <w:r w:rsidR="00E2291E">
        <w:rPr>
          <w:lang w:val="en-GB"/>
        </w:rPr>
        <w:t xml:space="preserve"> the TACAP Regulations</w:t>
      </w:r>
      <w:r w:rsidR="00F753A0">
        <w:rPr>
          <w:lang w:val="en-GB"/>
        </w:rPr>
        <w:t>.</w:t>
      </w:r>
    </w:p>
    <w:p w14:paraId="01D77E09" w14:textId="4EEA572E" w:rsidR="002A2BA1" w:rsidRDefault="11E85CFC" w:rsidP="00FC4681">
      <w:pPr>
        <w:numPr>
          <w:ilvl w:val="1"/>
          <w:numId w:val="18"/>
        </w:numPr>
        <w:spacing w:after="120" w:line="264" w:lineRule="auto"/>
        <w:ind w:left="720" w:hanging="518"/>
        <w:jc w:val="both"/>
        <w:rPr>
          <w:lang w:val="en-GB"/>
        </w:rPr>
      </w:pPr>
      <w:r w:rsidRPr="007E613A">
        <w:rPr>
          <w:i/>
          <w:iCs/>
          <w:lang w:val="en-GB"/>
        </w:rPr>
        <w:t>[</w:t>
      </w:r>
      <w:r w:rsidR="7E9794D3" w:rsidRPr="007E613A">
        <w:rPr>
          <w:i/>
          <w:iCs/>
          <w:highlight w:val="yellow"/>
          <w:lang w:val="en-GB"/>
        </w:rPr>
        <w:t>Name of</w:t>
      </w:r>
      <w:r w:rsidR="00190394" w:rsidRPr="007E613A">
        <w:rPr>
          <w:i/>
          <w:iCs/>
          <w:highlight w:val="yellow"/>
          <w:lang w:val="en-GB"/>
        </w:rPr>
        <w:t xml:space="preserve"> </w:t>
      </w:r>
      <w:r w:rsidR="00F753A0" w:rsidRPr="007E613A">
        <w:rPr>
          <w:i/>
          <w:iCs/>
          <w:highlight w:val="yellow"/>
          <w:lang w:val="en-GB"/>
        </w:rPr>
        <w:t>Applicant</w:t>
      </w:r>
      <w:r w:rsidR="12D12F4F" w:rsidRPr="12D12F4F">
        <w:rPr>
          <w:lang w:val="en-GB"/>
        </w:rPr>
        <w:t>]</w:t>
      </w:r>
      <w:r w:rsidR="00F753A0">
        <w:rPr>
          <w:lang w:val="en-GB"/>
        </w:rPr>
        <w:t xml:space="preserve"> shall submit the </w:t>
      </w:r>
      <w:r w:rsidR="00B903E1">
        <w:rPr>
          <w:lang w:val="en-GB"/>
        </w:rPr>
        <w:t>compliance report</w:t>
      </w:r>
      <w:r w:rsidR="006E6FDD">
        <w:rPr>
          <w:lang w:val="en-GB"/>
        </w:rPr>
        <w:t xml:space="preserve">, referred to </w:t>
      </w:r>
      <w:r w:rsidR="00D616B3">
        <w:rPr>
          <w:lang w:val="en-GB"/>
        </w:rPr>
        <w:t xml:space="preserve">in the preceding paragraph, on a </w:t>
      </w:r>
      <w:r w:rsidR="00D616B3" w:rsidRPr="1AF7FB7A">
        <w:rPr>
          <w:b/>
          <w:bCs/>
          <w:lang w:val="en-GB"/>
        </w:rPr>
        <w:t>bi-annual basis</w:t>
      </w:r>
      <w:r w:rsidR="00D616B3">
        <w:rPr>
          <w:lang w:val="en-GB"/>
        </w:rPr>
        <w:t xml:space="preserve"> for a period of </w:t>
      </w:r>
      <w:r w:rsidR="002D31E0" w:rsidRPr="77460D5C">
        <w:rPr>
          <w:b/>
          <w:bCs/>
          <w:lang w:val="en-US"/>
        </w:rPr>
        <w:t>12</w:t>
      </w:r>
      <w:r w:rsidR="002D31E0">
        <w:rPr>
          <w:lang w:val="en-US"/>
        </w:rPr>
        <w:t xml:space="preserve"> </w:t>
      </w:r>
      <w:r w:rsidR="002D31E0" w:rsidRPr="4D9713C1">
        <w:rPr>
          <w:lang w:val="en-US"/>
        </w:rPr>
        <w:t>months or such period as may be directed by the Commission.</w:t>
      </w:r>
    </w:p>
    <w:p w14:paraId="59B55B4E" w14:textId="77777777" w:rsidR="00C0138F" w:rsidRPr="00DD59DF" w:rsidRDefault="00C0138F" w:rsidP="007E613A">
      <w:pPr>
        <w:pStyle w:val="Heading2"/>
        <w:numPr>
          <w:ilvl w:val="0"/>
          <w:numId w:val="13"/>
        </w:numPr>
        <w:spacing w:before="360" w:after="240"/>
        <w:rPr>
          <w:color w:val="1F3864" w:themeColor="accent1" w:themeShade="80"/>
          <w:lang w:val="en-GB"/>
        </w:rPr>
      </w:pPr>
      <w:bookmarkStart w:id="9" w:name="_Toc358011229"/>
      <w:bookmarkStart w:id="10" w:name="_Toc484426998"/>
      <w:r w:rsidRPr="00DD59DF">
        <w:rPr>
          <w:color w:val="1F3864" w:themeColor="accent1" w:themeShade="80"/>
          <w:lang w:val="en-GB"/>
        </w:rPr>
        <w:t>Entry into force</w:t>
      </w:r>
      <w:bookmarkEnd w:id="9"/>
      <w:bookmarkEnd w:id="10"/>
    </w:p>
    <w:p w14:paraId="3EDB9BC9" w14:textId="77777777" w:rsidR="00BC1247" w:rsidRPr="00BC1247" w:rsidRDefault="00BC1247" w:rsidP="00BC1247">
      <w:pPr>
        <w:pStyle w:val="ListParagraph"/>
        <w:numPr>
          <w:ilvl w:val="0"/>
          <w:numId w:val="18"/>
        </w:numPr>
        <w:spacing w:after="120" w:line="264" w:lineRule="auto"/>
        <w:contextualSpacing w:val="0"/>
        <w:jc w:val="both"/>
        <w:rPr>
          <w:vanish/>
          <w:lang w:val="en-US"/>
        </w:rPr>
      </w:pPr>
    </w:p>
    <w:p w14:paraId="41C7EACA" w14:textId="17374841" w:rsidR="00246A96" w:rsidRPr="007E613A" w:rsidRDefault="00246A96" w:rsidP="007E613A">
      <w:pPr>
        <w:pStyle w:val="ListParagraph"/>
        <w:numPr>
          <w:ilvl w:val="1"/>
          <w:numId w:val="18"/>
        </w:numPr>
        <w:spacing w:after="120" w:line="264" w:lineRule="auto"/>
        <w:ind w:left="706"/>
        <w:contextualSpacing w:val="0"/>
        <w:jc w:val="both"/>
        <w:rPr>
          <w:lang w:val="en-US"/>
        </w:rPr>
      </w:pPr>
      <w:r w:rsidRPr="007E613A">
        <w:rPr>
          <w:lang w:val="en-US"/>
        </w:rPr>
        <w:t xml:space="preserve">The </w:t>
      </w:r>
      <w:r w:rsidR="003F04F8">
        <w:rPr>
          <w:lang w:val="en-US"/>
        </w:rPr>
        <w:t xml:space="preserve">Proposed </w:t>
      </w:r>
      <w:r w:rsidRPr="007E613A">
        <w:rPr>
          <w:lang w:val="en-US"/>
        </w:rPr>
        <w:t>Undertakings shall take effect on the date at which they are accepted</w:t>
      </w:r>
      <w:r w:rsidR="00585BA3">
        <w:rPr>
          <w:lang w:val="en-US"/>
        </w:rPr>
        <w:t xml:space="preserve"> </w:t>
      </w:r>
      <w:r w:rsidRPr="007E613A">
        <w:rPr>
          <w:lang w:val="en-US"/>
        </w:rPr>
        <w:t xml:space="preserve">by the Commission. </w:t>
      </w:r>
    </w:p>
    <w:p w14:paraId="53C1BA57" w14:textId="2A8CAC31" w:rsidR="00C0138F" w:rsidRDefault="00C0138F" w:rsidP="25EC8879">
      <w:pPr>
        <w:spacing w:before="160" w:after="0"/>
        <w:ind w:left="708"/>
        <w:rPr>
          <w:lang w:val="en-GB"/>
        </w:rPr>
      </w:pPr>
    </w:p>
    <w:p w14:paraId="53A5AD1A" w14:textId="3EC1E753" w:rsidR="00B877ED" w:rsidRDefault="00B877ED" w:rsidP="00C0138F">
      <w:pPr>
        <w:spacing w:before="160" w:after="0"/>
        <w:jc w:val="both"/>
        <w:rPr>
          <w:lang w:val="en-GB"/>
        </w:rPr>
      </w:pPr>
    </w:p>
    <w:p w14:paraId="012EEDD6" w14:textId="31BCE698" w:rsidR="00B877ED" w:rsidRDefault="00B877ED" w:rsidP="00C0138F">
      <w:pPr>
        <w:spacing w:before="160" w:after="0"/>
        <w:jc w:val="both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A7E6B" wp14:editId="52F7F5D6">
                <wp:simplePos x="0" y="0"/>
                <wp:positionH relativeFrom="column">
                  <wp:posOffset>57150</wp:posOffset>
                </wp:positionH>
                <wp:positionV relativeFrom="paragraph">
                  <wp:posOffset>279400</wp:posOffset>
                </wp:positionV>
                <wp:extent cx="2152650" cy="0"/>
                <wp:effectExtent l="0" t="0" r="19050" b="19050"/>
                <wp:wrapNone/>
                <wp:docPr id="715639766" name="Straight Connector 7156397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E7AD05-90E5-47D9-8B60-F91109EEE6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77432" id="Straight Connector 71563976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22pt" to="17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BE281" wp14:editId="6B1D2CF9">
                <wp:simplePos x="0" y="0"/>
                <wp:positionH relativeFrom="column">
                  <wp:posOffset>3200400</wp:posOffset>
                </wp:positionH>
                <wp:positionV relativeFrom="paragraph">
                  <wp:posOffset>279400</wp:posOffset>
                </wp:positionV>
                <wp:extent cx="2152650" cy="0"/>
                <wp:effectExtent l="0" t="0" r="19050" b="19050"/>
                <wp:wrapNone/>
                <wp:docPr id="157123313" name="Straight Connector 1571233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E881A4-0EDC-4895-AC08-297E4E1F42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79F62" id="Straight Connector 15712331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pt,22pt" to="421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6344F" w14:paraId="341040C7" w14:textId="77777777" w:rsidTr="00B877ED">
        <w:tc>
          <w:tcPr>
            <w:tcW w:w="4815" w:type="dxa"/>
          </w:tcPr>
          <w:p w14:paraId="5A30EBCD" w14:textId="46A8A8A6" w:rsidR="00C6344F" w:rsidRDefault="00B877ED" w:rsidP="00C0138F">
            <w:pPr>
              <w:spacing w:before="160"/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C57DCF">
              <w:rPr>
                <w:b/>
                <w:lang w:val="en-GB"/>
              </w:rPr>
              <w:t xml:space="preserve">Signature of </w:t>
            </w:r>
            <w:r>
              <w:rPr>
                <w:b/>
                <w:lang w:val="en-GB"/>
              </w:rPr>
              <w:t>authorised representative 1</w:t>
            </w:r>
            <w:r>
              <w:rPr>
                <w:lang w:val="en-GB"/>
              </w:rPr>
              <w:t>]</w:t>
            </w:r>
            <w:r>
              <w:rPr>
                <w:lang w:val="en-GB"/>
              </w:rPr>
              <w:tab/>
            </w:r>
          </w:p>
        </w:tc>
        <w:tc>
          <w:tcPr>
            <w:tcW w:w="4961" w:type="dxa"/>
          </w:tcPr>
          <w:p w14:paraId="21D2EE64" w14:textId="1E250AEA" w:rsidR="00C6344F" w:rsidRDefault="00B877ED" w:rsidP="00C0138F">
            <w:pPr>
              <w:spacing w:before="160"/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C57DCF">
              <w:rPr>
                <w:b/>
                <w:lang w:val="en-GB"/>
              </w:rPr>
              <w:t xml:space="preserve">Signature of </w:t>
            </w:r>
            <w:r>
              <w:rPr>
                <w:b/>
                <w:lang w:val="en-GB"/>
              </w:rPr>
              <w:t>authorised representative 2</w:t>
            </w:r>
            <w:r>
              <w:rPr>
                <w:lang w:val="en-GB"/>
              </w:rPr>
              <w:t>]</w:t>
            </w:r>
            <w:r>
              <w:rPr>
                <w:lang w:val="en-GB"/>
              </w:rPr>
              <w:tab/>
            </w:r>
          </w:p>
        </w:tc>
      </w:tr>
      <w:tr w:rsidR="00C6344F" w14:paraId="6C21B1B1" w14:textId="77777777" w:rsidTr="00B877ED">
        <w:tc>
          <w:tcPr>
            <w:tcW w:w="4815" w:type="dxa"/>
          </w:tcPr>
          <w:p w14:paraId="6E91F2F3" w14:textId="03BF9E87" w:rsidR="00C6344F" w:rsidRPr="007E613A" w:rsidRDefault="003F04F8" w:rsidP="00C0138F">
            <w:pPr>
              <w:spacing w:before="160"/>
              <w:jc w:val="both"/>
              <w:rPr>
                <w:highlight w:val="yellow"/>
                <w:lang w:val="en-GB"/>
              </w:rPr>
            </w:pPr>
            <w:r w:rsidRPr="426CCF3F">
              <w:rPr>
                <w:i/>
                <w:iCs/>
                <w:highlight w:val="yellow"/>
                <w:lang w:val="en-GB"/>
              </w:rPr>
              <w:t>[</w:t>
            </w:r>
            <w:r w:rsidR="00307FF1" w:rsidRPr="426CCF3F">
              <w:rPr>
                <w:i/>
                <w:iCs/>
                <w:highlight w:val="yellow"/>
                <w:lang w:val="en-GB"/>
              </w:rPr>
              <w:t>Name of Authorised representative 1</w:t>
            </w:r>
            <w:r w:rsidRPr="426CCF3F">
              <w:rPr>
                <w:i/>
                <w:iCs/>
                <w:highlight w:val="yellow"/>
                <w:lang w:val="en-GB"/>
              </w:rPr>
              <w:t>]</w:t>
            </w:r>
            <w:r w:rsidR="00307FF1">
              <w:rPr>
                <w:i/>
                <w:lang w:val="en-GB"/>
              </w:rPr>
              <w:tab/>
            </w:r>
          </w:p>
        </w:tc>
        <w:tc>
          <w:tcPr>
            <w:tcW w:w="4961" w:type="dxa"/>
          </w:tcPr>
          <w:p w14:paraId="70223A41" w14:textId="32A24BE6" w:rsidR="00C6344F" w:rsidRPr="007E613A" w:rsidRDefault="003F04F8" w:rsidP="00C0138F">
            <w:pPr>
              <w:spacing w:before="160"/>
              <w:jc w:val="both"/>
              <w:rPr>
                <w:highlight w:val="yellow"/>
                <w:lang w:val="en-GB"/>
              </w:rPr>
            </w:pPr>
            <w:r w:rsidRPr="47451289">
              <w:rPr>
                <w:i/>
                <w:iCs/>
                <w:highlight w:val="yellow"/>
                <w:lang w:val="en-GB"/>
              </w:rPr>
              <w:t>[</w:t>
            </w:r>
            <w:r w:rsidR="00307FF1" w:rsidRPr="47451289">
              <w:rPr>
                <w:i/>
                <w:iCs/>
                <w:highlight w:val="yellow"/>
                <w:lang w:val="en-GB"/>
              </w:rPr>
              <w:t>Name of Authorised representative 2</w:t>
            </w:r>
            <w:r w:rsidRPr="47451289">
              <w:rPr>
                <w:i/>
                <w:iCs/>
                <w:highlight w:val="yellow"/>
                <w:lang w:val="en-GB"/>
              </w:rPr>
              <w:t>]</w:t>
            </w:r>
          </w:p>
        </w:tc>
      </w:tr>
      <w:tr w:rsidR="00C6344F" w:rsidRPr="00FD3125" w14:paraId="32E7EAEF" w14:textId="77777777" w:rsidTr="00B877ED">
        <w:tc>
          <w:tcPr>
            <w:tcW w:w="4815" w:type="dxa"/>
          </w:tcPr>
          <w:p w14:paraId="63AACAA9" w14:textId="22B67EDE" w:rsidR="00C6344F" w:rsidRPr="007E613A" w:rsidRDefault="003F04F8" w:rsidP="00C0138F">
            <w:pPr>
              <w:spacing w:before="160"/>
              <w:jc w:val="both"/>
              <w:rPr>
                <w:b/>
                <w:bCs/>
                <w:highlight w:val="yellow"/>
                <w:lang w:val="en-GB"/>
              </w:rPr>
            </w:pPr>
            <w:r w:rsidRPr="007E613A">
              <w:rPr>
                <w:b/>
                <w:bCs/>
                <w:i/>
                <w:highlight w:val="yellow"/>
                <w:lang w:val="en-GB"/>
              </w:rPr>
              <w:t>[</w:t>
            </w:r>
            <w:r w:rsidR="00307FF1" w:rsidRPr="007E613A">
              <w:rPr>
                <w:b/>
                <w:bCs/>
                <w:i/>
                <w:highlight w:val="yellow"/>
                <w:lang w:val="en-GB"/>
              </w:rPr>
              <w:t>Title of the Office Bearer</w:t>
            </w:r>
            <w:r w:rsidRPr="007E613A">
              <w:rPr>
                <w:b/>
                <w:bCs/>
                <w:i/>
                <w:highlight w:val="yellow"/>
                <w:lang w:val="en-GB"/>
              </w:rPr>
              <w:t>]</w:t>
            </w:r>
          </w:p>
        </w:tc>
        <w:tc>
          <w:tcPr>
            <w:tcW w:w="4961" w:type="dxa"/>
          </w:tcPr>
          <w:p w14:paraId="2A2D9CDF" w14:textId="4E2DD73A" w:rsidR="00C6344F" w:rsidRPr="007E613A" w:rsidRDefault="003F04F8" w:rsidP="00C0138F">
            <w:pPr>
              <w:spacing w:before="160"/>
              <w:jc w:val="both"/>
              <w:rPr>
                <w:b/>
                <w:bCs/>
                <w:highlight w:val="yellow"/>
                <w:lang w:val="en-GB"/>
              </w:rPr>
            </w:pPr>
            <w:r w:rsidRPr="0B6D3B59">
              <w:rPr>
                <w:b/>
                <w:bCs/>
                <w:i/>
                <w:iCs/>
                <w:highlight w:val="yellow"/>
                <w:lang w:val="en-GB"/>
              </w:rPr>
              <w:t>[</w:t>
            </w:r>
            <w:r w:rsidR="00307FF1" w:rsidRPr="0B6D3B59">
              <w:rPr>
                <w:b/>
                <w:bCs/>
                <w:i/>
                <w:iCs/>
                <w:highlight w:val="yellow"/>
                <w:lang w:val="en-GB"/>
              </w:rPr>
              <w:t>Title of the Office Bearer</w:t>
            </w:r>
            <w:r w:rsidRPr="0B6D3B59">
              <w:rPr>
                <w:b/>
                <w:bCs/>
                <w:i/>
                <w:iCs/>
                <w:highlight w:val="yellow"/>
                <w:lang w:val="en-GB"/>
              </w:rPr>
              <w:t>]</w:t>
            </w:r>
          </w:p>
        </w:tc>
      </w:tr>
    </w:tbl>
    <w:p w14:paraId="00B58F9D" w14:textId="77777777" w:rsidR="005D1F91" w:rsidRDefault="005D1F91" w:rsidP="00C0138F">
      <w:pPr>
        <w:spacing w:before="160" w:after="0"/>
        <w:jc w:val="both"/>
        <w:rPr>
          <w:lang w:val="en-GB"/>
        </w:rPr>
      </w:pPr>
    </w:p>
    <w:p w14:paraId="5C3C1974" w14:textId="2B4FD614" w:rsidR="00FC4681" w:rsidRPr="00FC4681" w:rsidRDefault="00FC4681" w:rsidP="00FC4681">
      <w:pPr>
        <w:spacing w:before="160" w:after="0"/>
        <w:jc w:val="center"/>
        <w:rPr>
          <w:b/>
          <w:bCs/>
          <w:lang w:val="en-GB"/>
        </w:rPr>
      </w:pPr>
      <w:r w:rsidRPr="00FC4681">
        <w:rPr>
          <w:b/>
          <w:bCs/>
          <w:lang w:val="en-GB"/>
        </w:rPr>
        <w:t>Duly authorised for and on behalf of:</w:t>
      </w:r>
    </w:p>
    <w:p w14:paraId="0874E008" w14:textId="6034D2F5" w:rsidR="00FC4681" w:rsidRPr="00FC4681" w:rsidRDefault="00FC4681" w:rsidP="00FC4681">
      <w:pPr>
        <w:spacing w:before="160" w:after="0"/>
        <w:jc w:val="center"/>
        <w:rPr>
          <w:highlight w:val="yellow"/>
          <w:lang w:val="en-GB"/>
        </w:rPr>
      </w:pPr>
      <w:r w:rsidRPr="00FC4681">
        <w:rPr>
          <w:highlight w:val="yellow"/>
          <w:lang w:val="en-GB"/>
        </w:rPr>
        <w:t>[</w:t>
      </w:r>
      <w:r w:rsidRPr="00FC4681">
        <w:rPr>
          <w:b/>
          <w:bCs/>
          <w:highlight w:val="yellow"/>
          <w:lang w:val="en-GB"/>
        </w:rPr>
        <w:t>Name of Applicant</w:t>
      </w:r>
      <w:r w:rsidRPr="00FC4681">
        <w:rPr>
          <w:highlight w:val="yellow"/>
          <w:lang w:val="en-GB"/>
        </w:rPr>
        <w:t>]</w:t>
      </w:r>
    </w:p>
    <w:p w14:paraId="6719D686" w14:textId="20A34D03" w:rsidR="00FC4681" w:rsidRDefault="00FC4681" w:rsidP="00FC4681">
      <w:pPr>
        <w:spacing w:before="160" w:after="0"/>
        <w:jc w:val="center"/>
        <w:rPr>
          <w:lang w:val="en-GB"/>
        </w:rPr>
      </w:pPr>
      <w:r w:rsidRPr="00FC4681">
        <w:rPr>
          <w:highlight w:val="yellow"/>
          <w:lang w:val="en-GB"/>
        </w:rPr>
        <w:t>[</w:t>
      </w:r>
      <w:r w:rsidRPr="00FC4681">
        <w:rPr>
          <w:b/>
          <w:bCs/>
          <w:highlight w:val="yellow"/>
          <w:lang w:val="en-GB"/>
        </w:rPr>
        <w:t>Seal of Applicant</w:t>
      </w:r>
      <w:r>
        <w:rPr>
          <w:b/>
          <w:bCs/>
          <w:highlight w:val="yellow"/>
          <w:lang w:val="en-GB"/>
        </w:rPr>
        <w:t>, as applicable</w:t>
      </w:r>
      <w:r w:rsidRPr="00FC4681">
        <w:rPr>
          <w:highlight w:val="yellow"/>
          <w:lang w:val="en-GB"/>
        </w:rPr>
        <w:t>]</w:t>
      </w:r>
    </w:p>
    <w:p w14:paraId="6293409C" w14:textId="236DC036" w:rsidR="00C0138F" w:rsidRPr="00F25BEC" w:rsidRDefault="00C0138F" w:rsidP="00C0138F">
      <w:pPr>
        <w:spacing w:before="120"/>
        <w:ind w:left="708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462289B9" w14:textId="77777777" w:rsidR="00C0138F" w:rsidRPr="00A67FDF" w:rsidRDefault="00C0138F" w:rsidP="00C0138F">
      <w:pPr>
        <w:rPr>
          <w:lang w:val="en-GB"/>
        </w:rPr>
      </w:pPr>
    </w:p>
    <w:p w14:paraId="360A4B02" w14:textId="77777777" w:rsidR="00C0138F" w:rsidRDefault="00C0138F" w:rsidP="00C0138F">
      <w:pPr>
        <w:rPr>
          <w:lang w:val="en-GB"/>
        </w:rPr>
      </w:pPr>
    </w:p>
    <w:p w14:paraId="43EC6C89" w14:textId="77777777" w:rsidR="0004635A" w:rsidRPr="00DD59DF" w:rsidRDefault="0004635A">
      <w:pPr>
        <w:rPr>
          <w:lang w:val="en-GB"/>
        </w:rPr>
      </w:pPr>
    </w:p>
    <w:sectPr w:rsidR="0004635A" w:rsidRPr="00DD59DF" w:rsidSect="00E5383D">
      <w:footerReference w:type="default" r:id="rId15"/>
      <w:pgSz w:w="11906" w:h="16838"/>
      <w:pgMar w:top="108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1456" w14:textId="77777777" w:rsidR="00B17EDC" w:rsidRDefault="00B17EDC" w:rsidP="007E613A">
      <w:pPr>
        <w:spacing w:after="0" w:line="240" w:lineRule="auto"/>
      </w:pPr>
      <w:r>
        <w:separator/>
      </w:r>
    </w:p>
  </w:endnote>
  <w:endnote w:type="continuationSeparator" w:id="0">
    <w:p w14:paraId="52995B8B" w14:textId="77777777" w:rsidR="00B17EDC" w:rsidRDefault="00B17EDC" w:rsidP="007E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52E2" w14:textId="77777777" w:rsidR="00E5383D" w:rsidRDefault="00E53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778626"/>
      <w:docPartObj>
        <w:docPartGallery w:val="Page Numbers (Bottom of Page)"/>
        <w:docPartUnique/>
      </w:docPartObj>
    </w:sdtPr>
    <w:sdtContent>
      <w:p w14:paraId="2495174D" w14:textId="523C5AFC" w:rsidR="00121DDC" w:rsidRDefault="00121DD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2AE7E0C6" w14:textId="77777777" w:rsidR="00CD5583" w:rsidRDefault="00CD5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8297" w14:textId="77777777" w:rsidR="00E5383D" w:rsidRDefault="00E538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44952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72F7C94A" w14:textId="77624233" w:rsidR="00784F25" w:rsidRDefault="00784F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784F25">
              <w:rPr>
                <w:b/>
                <w:bCs/>
              </w:rPr>
              <w:fldChar w:fldCharType="begin"/>
            </w:r>
            <w:r w:rsidRPr="00784F25">
              <w:rPr>
                <w:b/>
                <w:bCs/>
              </w:rPr>
              <w:instrText xml:space="preserve"> SECTIONPAGES  \* Arabic  \* MERGEFORMAT </w:instrText>
            </w:r>
            <w:r w:rsidRPr="00784F25">
              <w:rPr>
                <w:b/>
                <w:bCs/>
              </w:rPr>
              <w:fldChar w:fldCharType="separate"/>
            </w:r>
            <w:r w:rsidR="00FD3125">
              <w:rPr>
                <w:b/>
                <w:bCs/>
                <w:noProof/>
              </w:rPr>
              <w:t>5</w:t>
            </w:r>
            <w:r w:rsidRPr="00784F25">
              <w:rPr>
                <w:b/>
                <w:bCs/>
              </w:rPr>
              <w:fldChar w:fldCharType="end"/>
            </w:r>
          </w:p>
        </w:sdtContent>
      </w:sdt>
    </w:sdtContent>
  </w:sdt>
  <w:p w14:paraId="2D071A6A" w14:textId="77777777" w:rsidR="00784F25" w:rsidRDefault="00784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BD29" w14:textId="77777777" w:rsidR="00B17EDC" w:rsidRDefault="00B17EDC" w:rsidP="007E613A">
      <w:pPr>
        <w:spacing w:after="0" w:line="240" w:lineRule="auto"/>
      </w:pPr>
      <w:r>
        <w:separator/>
      </w:r>
    </w:p>
  </w:footnote>
  <w:footnote w:type="continuationSeparator" w:id="0">
    <w:p w14:paraId="38AE837F" w14:textId="77777777" w:rsidR="00B17EDC" w:rsidRDefault="00B17EDC" w:rsidP="007E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C1C5" w14:textId="77777777" w:rsidR="00E5383D" w:rsidRDefault="00E53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5660" w14:textId="77777777" w:rsidR="00E5383D" w:rsidRDefault="00E53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F0A0" w14:textId="77777777" w:rsidR="00E5383D" w:rsidRDefault="00E53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08F"/>
    <w:multiLevelType w:val="hybridMultilevel"/>
    <w:tmpl w:val="9E5CA77E"/>
    <w:lvl w:ilvl="0" w:tplc="58947A4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724A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932958"/>
    <w:multiLevelType w:val="hybridMultilevel"/>
    <w:tmpl w:val="9412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16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C526EB"/>
    <w:multiLevelType w:val="hybridMultilevel"/>
    <w:tmpl w:val="8E9806AE"/>
    <w:lvl w:ilvl="0" w:tplc="200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31E73440"/>
    <w:multiLevelType w:val="multilevel"/>
    <w:tmpl w:val="6CBE2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CA599E"/>
    <w:multiLevelType w:val="hybridMultilevel"/>
    <w:tmpl w:val="64A8E6FC"/>
    <w:lvl w:ilvl="0" w:tplc="3448FF0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AE749F"/>
    <w:multiLevelType w:val="multilevel"/>
    <w:tmpl w:val="ACDA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168B2"/>
    <w:multiLevelType w:val="multilevel"/>
    <w:tmpl w:val="66F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D6C56"/>
    <w:multiLevelType w:val="hybridMultilevel"/>
    <w:tmpl w:val="9E5CA77E"/>
    <w:lvl w:ilvl="0" w:tplc="FFFFFFFF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0720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D54767"/>
    <w:multiLevelType w:val="hybridMultilevel"/>
    <w:tmpl w:val="5F42CF32"/>
    <w:lvl w:ilvl="0" w:tplc="F5C2C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043BA2"/>
    <w:multiLevelType w:val="multilevel"/>
    <w:tmpl w:val="F13E9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8162A3"/>
    <w:multiLevelType w:val="hybridMultilevel"/>
    <w:tmpl w:val="9E5CA77E"/>
    <w:lvl w:ilvl="0" w:tplc="FFFFFFFF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B553DE"/>
    <w:multiLevelType w:val="hybridMultilevel"/>
    <w:tmpl w:val="1FE61F50"/>
    <w:lvl w:ilvl="0" w:tplc="0809001B">
      <w:start w:val="1"/>
      <w:numFmt w:val="lowerRoman"/>
      <w:lvlText w:val="%1."/>
      <w:lvlJc w:val="righ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3C4151C"/>
    <w:multiLevelType w:val="multilevel"/>
    <w:tmpl w:val="FB7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B4673"/>
    <w:multiLevelType w:val="multilevel"/>
    <w:tmpl w:val="376A2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DC2F10"/>
    <w:multiLevelType w:val="hybridMultilevel"/>
    <w:tmpl w:val="DDA6D914"/>
    <w:lvl w:ilvl="0" w:tplc="3F947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86697">
    <w:abstractNumId w:val="8"/>
  </w:num>
  <w:num w:numId="2" w16cid:durableId="1017578996">
    <w:abstractNumId w:val="5"/>
  </w:num>
  <w:num w:numId="3" w16cid:durableId="1054281699">
    <w:abstractNumId w:val="6"/>
  </w:num>
  <w:num w:numId="4" w16cid:durableId="1082945554">
    <w:abstractNumId w:val="0"/>
  </w:num>
  <w:num w:numId="5" w16cid:durableId="1104613001">
    <w:abstractNumId w:val="16"/>
  </w:num>
  <w:num w:numId="6" w16cid:durableId="1211261313">
    <w:abstractNumId w:val="7"/>
  </w:num>
  <w:num w:numId="7" w16cid:durableId="1265502858">
    <w:abstractNumId w:val="13"/>
  </w:num>
  <w:num w:numId="8" w16cid:durableId="1368723076">
    <w:abstractNumId w:val="2"/>
  </w:num>
  <w:num w:numId="9" w16cid:durableId="1395547198">
    <w:abstractNumId w:val="14"/>
  </w:num>
  <w:num w:numId="10" w16cid:durableId="1623345413">
    <w:abstractNumId w:val="15"/>
  </w:num>
  <w:num w:numId="11" w16cid:durableId="2051610419">
    <w:abstractNumId w:val="11"/>
  </w:num>
  <w:num w:numId="12" w16cid:durableId="2053964561">
    <w:abstractNumId w:val="9"/>
  </w:num>
  <w:num w:numId="13" w16cid:durableId="333263780">
    <w:abstractNumId w:val="17"/>
  </w:num>
  <w:num w:numId="14" w16cid:durableId="3363885">
    <w:abstractNumId w:val="12"/>
  </w:num>
  <w:num w:numId="15" w16cid:durableId="587734018">
    <w:abstractNumId w:val="3"/>
  </w:num>
  <w:num w:numId="16" w16cid:durableId="65107640">
    <w:abstractNumId w:val="10"/>
  </w:num>
  <w:num w:numId="17" w16cid:durableId="1446459159">
    <w:abstractNumId w:val="4"/>
  </w:num>
  <w:num w:numId="18" w16cid:durableId="126985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8F"/>
    <w:rsid w:val="00005F36"/>
    <w:rsid w:val="00010DFF"/>
    <w:rsid w:val="00015344"/>
    <w:rsid w:val="00015893"/>
    <w:rsid w:val="00016A5E"/>
    <w:rsid w:val="00021CCF"/>
    <w:rsid w:val="0002203B"/>
    <w:rsid w:val="000235D4"/>
    <w:rsid w:val="0002420A"/>
    <w:rsid w:val="000275C2"/>
    <w:rsid w:val="00031339"/>
    <w:rsid w:val="00036813"/>
    <w:rsid w:val="00036944"/>
    <w:rsid w:val="00037F26"/>
    <w:rsid w:val="00041FF2"/>
    <w:rsid w:val="00043421"/>
    <w:rsid w:val="0004635A"/>
    <w:rsid w:val="00051630"/>
    <w:rsid w:val="00051CF4"/>
    <w:rsid w:val="000528D7"/>
    <w:rsid w:val="00056C59"/>
    <w:rsid w:val="00062851"/>
    <w:rsid w:val="000651CB"/>
    <w:rsid w:val="00066308"/>
    <w:rsid w:val="00066989"/>
    <w:rsid w:val="000678F0"/>
    <w:rsid w:val="000705C1"/>
    <w:rsid w:val="00070B32"/>
    <w:rsid w:val="0007142D"/>
    <w:rsid w:val="00072D9D"/>
    <w:rsid w:val="00085EE8"/>
    <w:rsid w:val="00097DD9"/>
    <w:rsid w:val="000A10C0"/>
    <w:rsid w:val="000A3113"/>
    <w:rsid w:val="000A4062"/>
    <w:rsid w:val="000A6D5C"/>
    <w:rsid w:val="000B1032"/>
    <w:rsid w:val="000B4460"/>
    <w:rsid w:val="000C086C"/>
    <w:rsid w:val="000C551B"/>
    <w:rsid w:val="000D1CE9"/>
    <w:rsid w:val="000D258A"/>
    <w:rsid w:val="000D69ED"/>
    <w:rsid w:val="000D6DF1"/>
    <w:rsid w:val="000D7D95"/>
    <w:rsid w:val="000E5673"/>
    <w:rsid w:val="000E6568"/>
    <w:rsid w:val="000E7589"/>
    <w:rsid w:val="000F567D"/>
    <w:rsid w:val="000F576A"/>
    <w:rsid w:val="001055ED"/>
    <w:rsid w:val="00111B19"/>
    <w:rsid w:val="00112E35"/>
    <w:rsid w:val="001132F7"/>
    <w:rsid w:val="001201C8"/>
    <w:rsid w:val="00121DDC"/>
    <w:rsid w:val="001238B6"/>
    <w:rsid w:val="00132094"/>
    <w:rsid w:val="001346DA"/>
    <w:rsid w:val="0013735D"/>
    <w:rsid w:val="00137CD1"/>
    <w:rsid w:val="00142B70"/>
    <w:rsid w:val="00143A17"/>
    <w:rsid w:val="00156120"/>
    <w:rsid w:val="001609B8"/>
    <w:rsid w:val="00161A80"/>
    <w:rsid w:val="00164C1E"/>
    <w:rsid w:val="0016760E"/>
    <w:rsid w:val="0016781C"/>
    <w:rsid w:val="00170AFC"/>
    <w:rsid w:val="00181E33"/>
    <w:rsid w:val="001835E3"/>
    <w:rsid w:val="00184684"/>
    <w:rsid w:val="00186703"/>
    <w:rsid w:val="00186D8D"/>
    <w:rsid w:val="00190394"/>
    <w:rsid w:val="00191050"/>
    <w:rsid w:val="001A284F"/>
    <w:rsid w:val="001A641A"/>
    <w:rsid w:val="001A6AFF"/>
    <w:rsid w:val="001A795D"/>
    <w:rsid w:val="001B1EFB"/>
    <w:rsid w:val="001B2618"/>
    <w:rsid w:val="001B7502"/>
    <w:rsid w:val="001C1BF1"/>
    <w:rsid w:val="001C395C"/>
    <w:rsid w:val="001C6439"/>
    <w:rsid w:val="001C67FB"/>
    <w:rsid w:val="001C6A28"/>
    <w:rsid w:val="001C7A81"/>
    <w:rsid w:val="001C7B20"/>
    <w:rsid w:val="001D0BC4"/>
    <w:rsid w:val="001D1E41"/>
    <w:rsid w:val="001E2A10"/>
    <w:rsid w:val="001E5043"/>
    <w:rsid w:val="001E64D9"/>
    <w:rsid w:val="001E6E4E"/>
    <w:rsid w:val="001F13F5"/>
    <w:rsid w:val="001F46DD"/>
    <w:rsid w:val="00201D21"/>
    <w:rsid w:val="002034E3"/>
    <w:rsid w:val="00210C4F"/>
    <w:rsid w:val="00211C13"/>
    <w:rsid w:val="00216041"/>
    <w:rsid w:val="002179A0"/>
    <w:rsid w:val="00225C89"/>
    <w:rsid w:val="0023010F"/>
    <w:rsid w:val="00230C63"/>
    <w:rsid w:val="00231618"/>
    <w:rsid w:val="00234CB7"/>
    <w:rsid w:val="0024158B"/>
    <w:rsid w:val="00246A96"/>
    <w:rsid w:val="0025122C"/>
    <w:rsid w:val="00251BC4"/>
    <w:rsid w:val="00251D94"/>
    <w:rsid w:val="00252C9C"/>
    <w:rsid w:val="00254373"/>
    <w:rsid w:val="00254F64"/>
    <w:rsid w:val="00255876"/>
    <w:rsid w:val="00255B37"/>
    <w:rsid w:val="00255D3E"/>
    <w:rsid w:val="00260AB3"/>
    <w:rsid w:val="00262BF3"/>
    <w:rsid w:val="00263EC7"/>
    <w:rsid w:val="00264CBE"/>
    <w:rsid w:val="00271055"/>
    <w:rsid w:val="00277D24"/>
    <w:rsid w:val="002812C2"/>
    <w:rsid w:val="00285561"/>
    <w:rsid w:val="00286BA8"/>
    <w:rsid w:val="002943AF"/>
    <w:rsid w:val="002A1F7E"/>
    <w:rsid w:val="002A2711"/>
    <w:rsid w:val="002A2BA1"/>
    <w:rsid w:val="002B0247"/>
    <w:rsid w:val="002B3225"/>
    <w:rsid w:val="002B4700"/>
    <w:rsid w:val="002B4F25"/>
    <w:rsid w:val="002B6B0D"/>
    <w:rsid w:val="002C4ADF"/>
    <w:rsid w:val="002C73B9"/>
    <w:rsid w:val="002D0162"/>
    <w:rsid w:val="002D01BF"/>
    <w:rsid w:val="002D31E0"/>
    <w:rsid w:val="002D3F79"/>
    <w:rsid w:val="002D6577"/>
    <w:rsid w:val="002E3576"/>
    <w:rsid w:val="002E731B"/>
    <w:rsid w:val="002E75F6"/>
    <w:rsid w:val="002E7D5C"/>
    <w:rsid w:val="002F0817"/>
    <w:rsid w:val="002F1CA8"/>
    <w:rsid w:val="002F31B6"/>
    <w:rsid w:val="00303891"/>
    <w:rsid w:val="00307FF1"/>
    <w:rsid w:val="00314E11"/>
    <w:rsid w:val="00317174"/>
    <w:rsid w:val="0031755A"/>
    <w:rsid w:val="00317A89"/>
    <w:rsid w:val="00321681"/>
    <w:rsid w:val="003220E8"/>
    <w:rsid w:val="0032488C"/>
    <w:rsid w:val="003266E5"/>
    <w:rsid w:val="00327847"/>
    <w:rsid w:val="0033084B"/>
    <w:rsid w:val="003338B4"/>
    <w:rsid w:val="00342FEB"/>
    <w:rsid w:val="003477F5"/>
    <w:rsid w:val="0034798B"/>
    <w:rsid w:val="00350C3B"/>
    <w:rsid w:val="003522B7"/>
    <w:rsid w:val="00352B16"/>
    <w:rsid w:val="0035557C"/>
    <w:rsid w:val="00356F9C"/>
    <w:rsid w:val="00357B23"/>
    <w:rsid w:val="0036337A"/>
    <w:rsid w:val="00364A26"/>
    <w:rsid w:val="003701C6"/>
    <w:rsid w:val="00374609"/>
    <w:rsid w:val="0038351F"/>
    <w:rsid w:val="003858E2"/>
    <w:rsid w:val="0039033D"/>
    <w:rsid w:val="00390652"/>
    <w:rsid w:val="003927EF"/>
    <w:rsid w:val="003964B0"/>
    <w:rsid w:val="00397BEB"/>
    <w:rsid w:val="003A182E"/>
    <w:rsid w:val="003A232A"/>
    <w:rsid w:val="003A4AC6"/>
    <w:rsid w:val="003B0980"/>
    <w:rsid w:val="003B37E2"/>
    <w:rsid w:val="003B3989"/>
    <w:rsid w:val="003B730F"/>
    <w:rsid w:val="003C0F92"/>
    <w:rsid w:val="003C49D6"/>
    <w:rsid w:val="003D6E45"/>
    <w:rsid w:val="003D77D3"/>
    <w:rsid w:val="003E0481"/>
    <w:rsid w:val="003E0B0E"/>
    <w:rsid w:val="003E0E1B"/>
    <w:rsid w:val="003E3B5C"/>
    <w:rsid w:val="003E4758"/>
    <w:rsid w:val="003E5409"/>
    <w:rsid w:val="003E6A84"/>
    <w:rsid w:val="003F04F8"/>
    <w:rsid w:val="003F0F8F"/>
    <w:rsid w:val="003F17A7"/>
    <w:rsid w:val="003F2DA0"/>
    <w:rsid w:val="003F43B3"/>
    <w:rsid w:val="003F4713"/>
    <w:rsid w:val="003F6CA7"/>
    <w:rsid w:val="004033D6"/>
    <w:rsid w:val="0040444F"/>
    <w:rsid w:val="00404A39"/>
    <w:rsid w:val="00404F5D"/>
    <w:rsid w:val="00406048"/>
    <w:rsid w:val="00407C30"/>
    <w:rsid w:val="00410A7B"/>
    <w:rsid w:val="004112FD"/>
    <w:rsid w:val="00411F48"/>
    <w:rsid w:val="004142C5"/>
    <w:rsid w:val="004167E5"/>
    <w:rsid w:val="00431841"/>
    <w:rsid w:val="00434E4B"/>
    <w:rsid w:val="004369A5"/>
    <w:rsid w:val="00440984"/>
    <w:rsid w:val="00441130"/>
    <w:rsid w:val="004430A7"/>
    <w:rsid w:val="00443D47"/>
    <w:rsid w:val="00444A4E"/>
    <w:rsid w:val="00446FC5"/>
    <w:rsid w:val="004508E5"/>
    <w:rsid w:val="00453226"/>
    <w:rsid w:val="00455C99"/>
    <w:rsid w:val="00456754"/>
    <w:rsid w:val="00463F40"/>
    <w:rsid w:val="00465440"/>
    <w:rsid w:val="00472410"/>
    <w:rsid w:val="004741E4"/>
    <w:rsid w:val="00476B1C"/>
    <w:rsid w:val="00484E8E"/>
    <w:rsid w:val="004926D0"/>
    <w:rsid w:val="00493864"/>
    <w:rsid w:val="00496174"/>
    <w:rsid w:val="004A10D3"/>
    <w:rsid w:val="004A11B6"/>
    <w:rsid w:val="004A1B17"/>
    <w:rsid w:val="004A2002"/>
    <w:rsid w:val="004A2FC8"/>
    <w:rsid w:val="004A7C70"/>
    <w:rsid w:val="004B06C0"/>
    <w:rsid w:val="004B450F"/>
    <w:rsid w:val="004C2E08"/>
    <w:rsid w:val="004C3C66"/>
    <w:rsid w:val="004C4251"/>
    <w:rsid w:val="004D0E16"/>
    <w:rsid w:val="004E3D7F"/>
    <w:rsid w:val="004F5388"/>
    <w:rsid w:val="004F5D75"/>
    <w:rsid w:val="00506C62"/>
    <w:rsid w:val="0050774B"/>
    <w:rsid w:val="00510EF3"/>
    <w:rsid w:val="00511BE3"/>
    <w:rsid w:val="00515BEC"/>
    <w:rsid w:val="00525178"/>
    <w:rsid w:val="00532714"/>
    <w:rsid w:val="00534D20"/>
    <w:rsid w:val="0054382A"/>
    <w:rsid w:val="00544E30"/>
    <w:rsid w:val="00545554"/>
    <w:rsid w:val="00545AAC"/>
    <w:rsid w:val="00547619"/>
    <w:rsid w:val="00550D88"/>
    <w:rsid w:val="0055112B"/>
    <w:rsid w:val="005512B0"/>
    <w:rsid w:val="005512CF"/>
    <w:rsid w:val="00563EF1"/>
    <w:rsid w:val="00567000"/>
    <w:rsid w:val="0058027C"/>
    <w:rsid w:val="0058303B"/>
    <w:rsid w:val="005854A4"/>
    <w:rsid w:val="00585BA3"/>
    <w:rsid w:val="00585C75"/>
    <w:rsid w:val="00586635"/>
    <w:rsid w:val="00592455"/>
    <w:rsid w:val="00594850"/>
    <w:rsid w:val="005A034E"/>
    <w:rsid w:val="005A261E"/>
    <w:rsid w:val="005A435B"/>
    <w:rsid w:val="005A4528"/>
    <w:rsid w:val="005A5812"/>
    <w:rsid w:val="005A5BF4"/>
    <w:rsid w:val="005A665A"/>
    <w:rsid w:val="005B2822"/>
    <w:rsid w:val="005B3355"/>
    <w:rsid w:val="005B784E"/>
    <w:rsid w:val="005C04E4"/>
    <w:rsid w:val="005C0A3D"/>
    <w:rsid w:val="005C2ED8"/>
    <w:rsid w:val="005C3F3B"/>
    <w:rsid w:val="005C4794"/>
    <w:rsid w:val="005C683A"/>
    <w:rsid w:val="005D1F91"/>
    <w:rsid w:val="005D1FBF"/>
    <w:rsid w:val="005D578C"/>
    <w:rsid w:val="005F014F"/>
    <w:rsid w:val="005F04BE"/>
    <w:rsid w:val="005F680D"/>
    <w:rsid w:val="005F776F"/>
    <w:rsid w:val="005F7DFB"/>
    <w:rsid w:val="006036D4"/>
    <w:rsid w:val="00603792"/>
    <w:rsid w:val="0060602A"/>
    <w:rsid w:val="00607364"/>
    <w:rsid w:val="0060759F"/>
    <w:rsid w:val="00614F39"/>
    <w:rsid w:val="00624BA0"/>
    <w:rsid w:val="0063184C"/>
    <w:rsid w:val="0063464F"/>
    <w:rsid w:val="00636C35"/>
    <w:rsid w:val="0064065C"/>
    <w:rsid w:val="00650FC2"/>
    <w:rsid w:val="006526E0"/>
    <w:rsid w:val="00654FFF"/>
    <w:rsid w:val="00655FA5"/>
    <w:rsid w:val="00672CEF"/>
    <w:rsid w:val="0068642D"/>
    <w:rsid w:val="0068764D"/>
    <w:rsid w:val="006932A4"/>
    <w:rsid w:val="0069440E"/>
    <w:rsid w:val="00695D84"/>
    <w:rsid w:val="00696B38"/>
    <w:rsid w:val="006A2A59"/>
    <w:rsid w:val="006A2FB2"/>
    <w:rsid w:val="006A4E13"/>
    <w:rsid w:val="006A7919"/>
    <w:rsid w:val="006C6F8F"/>
    <w:rsid w:val="006D4594"/>
    <w:rsid w:val="006D4B08"/>
    <w:rsid w:val="006E2A46"/>
    <w:rsid w:val="006E6FDD"/>
    <w:rsid w:val="006F469C"/>
    <w:rsid w:val="006F477D"/>
    <w:rsid w:val="006F4C15"/>
    <w:rsid w:val="00703547"/>
    <w:rsid w:val="00704205"/>
    <w:rsid w:val="0070463B"/>
    <w:rsid w:val="007159BD"/>
    <w:rsid w:val="00720E9A"/>
    <w:rsid w:val="00722BFB"/>
    <w:rsid w:val="00725E2F"/>
    <w:rsid w:val="0072619C"/>
    <w:rsid w:val="00727877"/>
    <w:rsid w:val="00731EB1"/>
    <w:rsid w:val="0074175F"/>
    <w:rsid w:val="00741B54"/>
    <w:rsid w:val="00746298"/>
    <w:rsid w:val="00747AD8"/>
    <w:rsid w:val="0076227B"/>
    <w:rsid w:val="00765044"/>
    <w:rsid w:val="00771097"/>
    <w:rsid w:val="00773461"/>
    <w:rsid w:val="00781348"/>
    <w:rsid w:val="0078213D"/>
    <w:rsid w:val="00782B94"/>
    <w:rsid w:val="00784F25"/>
    <w:rsid w:val="00785140"/>
    <w:rsid w:val="0079235B"/>
    <w:rsid w:val="00792F47"/>
    <w:rsid w:val="007A2102"/>
    <w:rsid w:val="007A3AE5"/>
    <w:rsid w:val="007A5536"/>
    <w:rsid w:val="007A7738"/>
    <w:rsid w:val="007B1241"/>
    <w:rsid w:val="007B6A7F"/>
    <w:rsid w:val="007B6C47"/>
    <w:rsid w:val="007B70F1"/>
    <w:rsid w:val="007C0B4F"/>
    <w:rsid w:val="007C3B44"/>
    <w:rsid w:val="007C45C7"/>
    <w:rsid w:val="007D519E"/>
    <w:rsid w:val="007D617F"/>
    <w:rsid w:val="007E332A"/>
    <w:rsid w:val="007E448E"/>
    <w:rsid w:val="007E613A"/>
    <w:rsid w:val="007E7463"/>
    <w:rsid w:val="007F22CF"/>
    <w:rsid w:val="007F4B1D"/>
    <w:rsid w:val="007F6484"/>
    <w:rsid w:val="0081270F"/>
    <w:rsid w:val="0081751C"/>
    <w:rsid w:val="00821384"/>
    <w:rsid w:val="00825144"/>
    <w:rsid w:val="00826A4D"/>
    <w:rsid w:val="008309CD"/>
    <w:rsid w:val="008312DA"/>
    <w:rsid w:val="00850308"/>
    <w:rsid w:val="00857DD9"/>
    <w:rsid w:val="00864DAB"/>
    <w:rsid w:val="00867099"/>
    <w:rsid w:val="00870693"/>
    <w:rsid w:val="00873278"/>
    <w:rsid w:val="0087461A"/>
    <w:rsid w:val="00874A98"/>
    <w:rsid w:val="00875C79"/>
    <w:rsid w:val="00875D0A"/>
    <w:rsid w:val="008824F7"/>
    <w:rsid w:val="008830EB"/>
    <w:rsid w:val="008839EE"/>
    <w:rsid w:val="008878F8"/>
    <w:rsid w:val="00887C65"/>
    <w:rsid w:val="00890D87"/>
    <w:rsid w:val="00892B35"/>
    <w:rsid w:val="0089338A"/>
    <w:rsid w:val="008A637A"/>
    <w:rsid w:val="008A6C68"/>
    <w:rsid w:val="008B493C"/>
    <w:rsid w:val="008B54C6"/>
    <w:rsid w:val="008C14AC"/>
    <w:rsid w:val="008C2337"/>
    <w:rsid w:val="008C4E06"/>
    <w:rsid w:val="008C579F"/>
    <w:rsid w:val="008C5A1D"/>
    <w:rsid w:val="008C611E"/>
    <w:rsid w:val="008D0064"/>
    <w:rsid w:val="008D20CB"/>
    <w:rsid w:val="008D33EA"/>
    <w:rsid w:val="008D44FA"/>
    <w:rsid w:val="008D4BB5"/>
    <w:rsid w:val="008E1772"/>
    <w:rsid w:val="008E3EBC"/>
    <w:rsid w:val="008E4A10"/>
    <w:rsid w:val="008E51A4"/>
    <w:rsid w:val="008E53B4"/>
    <w:rsid w:val="008F2E06"/>
    <w:rsid w:val="00904F20"/>
    <w:rsid w:val="00911536"/>
    <w:rsid w:val="00912E85"/>
    <w:rsid w:val="00915996"/>
    <w:rsid w:val="00916816"/>
    <w:rsid w:val="0092041D"/>
    <w:rsid w:val="00920D8F"/>
    <w:rsid w:val="00922BD7"/>
    <w:rsid w:val="009316DF"/>
    <w:rsid w:val="009319A6"/>
    <w:rsid w:val="009402FB"/>
    <w:rsid w:val="00944A58"/>
    <w:rsid w:val="00951709"/>
    <w:rsid w:val="00952327"/>
    <w:rsid w:val="00953336"/>
    <w:rsid w:val="00954FAC"/>
    <w:rsid w:val="009564EA"/>
    <w:rsid w:val="0095733A"/>
    <w:rsid w:val="00957B33"/>
    <w:rsid w:val="009619F4"/>
    <w:rsid w:val="00963093"/>
    <w:rsid w:val="00964576"/>
    <w:rsid w:val="009720A9"/>
    <w:rsid w:val="00974B28"/>
    <w:rsid w:val="00975BBA"/>
    <w:rsid w:val="00976B8C"/>
    <w:rsid w:val="00980523"/>
    <w:rsid w:val="0098201F"/>
    <w:rsid w:val="00983404"/>
    <w:rsid w:val="00986637"/>
    <w:rsid w:val="00986E1B"/>
    <w:rsid w:val="00987DCA"/>
    <w:rsid w:val="0099265F"/>
    <w:rsid w:val="00995EC8"/>
    <w:rsid w:val="009976A8"/>
    <w:rsid w:val="009A18F4"/>
    <w:rsid w:val="009A2EE1"/>
    <w:rsid w:val="009A38DA"/>
    <w:rsid w:val="009B04B1"/>
    <w:rsid w:val="009C0036"/>
    <w:rsid w:val="009C008F"/>
    <w:rsid w:val="009C114E"/>
    <w:rsid w:val="009C6A13"/>
    <w:rsid w:val="009C6FF3"/>
    <w:rsid w:val="009C7D7B"/>
    <w:rsid w:val="009D25CD"/>
    <w:rsid w:val="009D5E99"/>
    <w:rsid w:val="009D7780"/>
    <w:rsid w:val="009E1D56"/>
    <w:rsid w:val="009E578D"/>
    <w:rsid w:val="009F0D82"/>
    <w:rsid w:val="009F2C66"/>
    <w:rsid w:val="009F7A5F"/>
    <w:rsid w:val="00A077BF"/>
    <w:rsid w:val="00A159F6"/>
    <w:rsid w:val="00A1722D"/>
    <w:rsid w:val="00A22CE4"/>
    <w:rsid w:val="00A3166B"/>
    <w:rsid w:val="00A33179"/>
    <w:rsid w:val="00A3590B"/>
    <w:rsid w:val="00A40B29"/>
    <w:rsid w:val="00A50CAD"/>
    <w:rsid w:val="00A53BC6"/>
    <w:rsid w:val="00A56DB6"/>
    <w:rsid w:val="00A60AE4"/>
    <w:rsid w:val="00A61977"/>
    <w:rsid w:val="00A65FB5"/>
    <w:rsid w:val="00A6762A"/>
    <w:rsid w:val="00A701D9"/>
    <w:rsid w:val="00A70570"/>
    <w:rsid w:val="00A74FAF"/>
    <w:rsid w:val="00A776F2"/>
    <w:rsid w:val="00A83C32"/>
    <w:rsid w:val="00A83EB5"/>
    <w:rsid w:val="00A85F97"/>
    <w:rsid w:val="00A86EFE"/>
    <w:rsid w:val="00A87629"/>
    <w:rsid w:val="00A92C0C"/>
    <w:rsid w:val="00A9501E"/>
    <w:rsid w:val="00AA0A0F"/>
    <w:rsid w:val="00AA1743"/>
    <w:rsid w:val="00AA5D0C"/>
    <w:rsid w:val="00AB18EC"/>
    <w:rsid w:val="00AB4420"/>
    <w:rsid w:val="00AB669B"/>
    <w:rsid w:val="00AB7219"/>
    <w:rsid w:val="00AC05E2"/>
    <w:rsid w:val="00AC2097"/>
    <w:rsid w:val="00AC5AFD"/>
    <w:rsid w:val="00AD3257"/>
    <w:rsid w:val="00AD5CC3"/>
    <w:rsid w:val="00AD7880"/>
    <w:rsid w:val="00AE0E48"/>
    <w:rsid w:val="00AE2195"/>
    <w:rsid w:val="00AE7753"/>
    <w:rsid w:val="00AF1BBF"/>
    <w:rsid w:val="00AF31CF"/>
    <w:rsid w:val="00AF36D4"/>
    <w:rsid w:val="00AF60D8"/>
    <w:rsid w:val="00AF6A22"/>
    <w:rsid w:val="00AF6F1F"/>
    <w:rsid w:val="00B001A4"/>
    <w:rsid w:val="00B03794"/>
    <w:rsid w:val="00B05E6A"/>
    <w:rsid w:val="00B07AD8"/>
    <w:rsid w:val="00B10D41"/>
    <w:rsid w:val="00B1304A"/>
    <w:rsid w:val="00B14379"/>
    <w:rsid w:val="00B160F4"/>
    <w:rsid w:val="00B17EDC"/>
    <w:rsid w:val="00B17FE8"/>
    <w:rsid w:val="00B252E0"/>
    <w:rsid w:val="00B347D6"/>
    <w:rsid w:val="00B3799C"/>
    <w:rsid w:val="00B47E1C"/>
    <w:rsid w:val="00B503B1"/>
    <w:rsid w:val="00B507B2"/>
    <w:rsid w:val="00B63D81"/>
    <w:rsid w:val="00B651AB"/>
    <w:rsid w:val="00B66E43"/>
    <w:rsid w:val="00B70C7D"/>
    <w:rsid w:val="00B70E55"/>
    <w:rsid w:val="00B72F00"/>
    <w:rsid w:val="00B81EFF"/>
    <w:rsid w:val="00B81F7A"/>
    <w:rsid w:val="00B85ACF"/>
    <w:rsid w:val="00B872EC"/>
    <w:rsid w:val="00B877ED"/>
    <w:rsid w:val="00B87E79"/>
    <w:rsid w:val="00B903E1"/>
    <w:rsid w:val="00B9339F"/>
    <w:rsid w:val="00B96AFD"/>
    <w:rsid w:val="00B9715A"/>
    <w:rsid w:val="00BA209E"/>
    <w:rsid w:val="00BC1247"/>
    <w:rsid w:val="00BC60E2"/>
    <w:rsid w:val="00BD718C"/>
    <w:rsid w:val="00BE2086"/>
    <w:rsid w:val="00BE3A86"/>
    <w:rsid w:val="00BE6EAB"/>
    <w:rsid w:val="00BF5C63"/>
    <w:rsid w:val="00C0138F"/>
    <w:rsid w:val="00C0326A"/>
    <w:rsid w:val="00C0645A"/>
    <w:rsid w:val="00C06A4C"/>
    <w:rsid w:val="00C075E4"/>
    <w:rsid w:val="00C13811"/>
    <w:rsid w:val="00C14F20"/>
    <w:rsid w:val="00C16610"/>
    <w:rsid w:val="00C20586"/>
    <w:rsid w:val="00C21225"/>
    <w:rsid w:val="00C23961"/>
    <w:rsid w:val="00C2671E"/>
    <w:rsid w:val="00C27FA6"/>
    <w:rsid w:val="00C3131C"/>
    <w:rsid w:val="00C3150C"/>
    <w:rsid w:val="00C33889"/>
    <w:rsid w:val="00C370DB"/>
    <w:rsid w:val="00C54998"/>
    <w:rsid w:val="00C6026C"/>
    <w:rsid w:val="00C62DD8"/>
    <w:rsid w:val="00C63241"/>
    <w:rsid w:val="00C6344F"/>
    <w:rsid w:val="00C643E2"/>
    <w:rsid w:val="00C65B96"/>
    <w:rsid w:val="00C71DD3"/>
    <w:rsid w:val="00C821F1"/>
    <w:rsid w:val="00C8354D"/>
    <w:rsid w:val="00C928B1"/>
    <w:rsid w:val="00C929FE"/>
    <w:rsid w:val="00CA0318"/>
    <w:rsid w:val="00CA1D76"/>
    <w:rsid w:val="00CA798A"/>
    <w:rsid w:val="00CB0D2A"/>
    <w:rsid w:val="00CB2A9F"/>
    <w:rsid w:val="00CB4DAE"/>
    <w:rsid w:val="00CB5B55"/>
    <w:rsid w:val="00CB5FCC"/>
    <w:rsid w:val="00CB78C3"/>
    <w:rsid w:val="00CC0509"/>
    <w:rsid w:val="00CC1283"/>
    <w:rsid w:val="00CC3676"/>
    <w:rsid w:val="00CC489A"/>
    <w:rsid w:val="00CC4B19"/>
    <w:rsid w:val="00CC7286"/>
    <w:rsid w:val="00CD06CF"/>
    <w:rsid w:val="00CD3FB2"/>
    <w:rsid w:val="00CD4455"/>
    <w:rsid w:val="00CD5583"/>
    <w:rsid w:val="00CD72A5"/>
    <w:rsid w:val="00CE058D"/>
    <w:rsid w:val="00CF08D8"/>
    <w:rsid w:val="00CF28DF"/>
    <w:rsid w:val="00CF669D"/>
    <w:rsid w:val="00CF7EBC"/>
    <w:rsid w:val="00D03D57"/>
    <w:rsid w:val="00D05A3F"/>
    <w:rsid w:val="00D064B8"/>
    <w:rsid w:val="00D0B038"/>
    <w:rsid w:val="00D110E1"/>
    <w:rsid w:val="00D13069"/>
    <w:rsid w:val="00D15223"/>
    <w:rsid w:val="00D164B7"/>
    <w:rsid w:val="00D20C73"/>
    <w:rsid w:val="00D23FA6"/>
    <w:rsid w:val="00D24CF5"/>
    <w:rsid w:val="00D27A65"/>
    <w:rsid w:val="00D313C0"/>
    <w:rsid w:val="00D42167"/>
    <w:rsid w:val="00D4675A"/>
    <w:rsid w:val="00D50AC1"/>
    <w:rsid w:val="00D514CE"/>
    <w:rsid w:val="00D51E7E"/>
    <w:rsid w:val="00D53D2E"/>
    <w:rsid w:val="00D603CE"/>
    <w:rsid w:val="00D616B3"/>
    <w:rsid w:val="00D65711"/>
    <w:rsid w:val="00D67017"/>
    <w:rsid w:val="00D70367"/>
    <w:rsid w:val="00D7091E"/>
    <w:rsid w:val="00D756C3"/>
    <w:rsid w:val="00D76CA4"/>
    <w:rsid w:val="00D76F3E"/>
    <w:rsid w:val="00D8007F"/>
    <w:rsid w:val="00D86850"/>
    <w:rsid w:val="00D876CF"/>
    <w:rsid w:val="00D903D8"/>
    <w:rsid w:val="00D918AB"/>
    <w:rsid w:val="00D92463"/>
    <w:rsid w:val="00D93087"/>
    <w:rsid w:val="00D9320A"/>
    <w:rsid w:val="00D94365"/>
    <w:rsid w:val="00D94DDA"/>
    <w:rsid w:val="00D94FB8"/>
    <w:rsid w:val="00D972DB"/>
    <w:rsid w:val="00D97583"/>
    <w:rsid w:val="00DA1D7E"/>
    <w:rsid w:val="00DA4BCA"/>
    <w:rsid w:val="00DB5119"/>
    <w:rsid w:val="00DB537C"/>
    <w:rsid w:val="00DB6C74"/>
    <w:rsid w:val="00DC3F8C"/>
    <w:rsid w:val="00DD088C"/>
    <w:rsid w:val="00DD2A53"/>
    <w:rsid w:val="00DD3BF0"/>
    <w:rsid w:val="00DD59DF"/>
    <w:rsid w:val="00DE015A"/>
    <w:rsid w:val="00DE0720"/>
    <w:rsid w:val="00DE196C"/>
    <w:rsid w:val="00DE6AA6"/>
    <w:rsid w:val="00DF2547"/>
    <w:rsid w:val="00DF4F89"/>
    <w:rsid w:val="00DF7BA3"/>
    <w:rsid w:val="00E00A48"/>
    <w:rsid w:val="00E06D81"/>
    <w:rsid w:val="00E121FC"/>
    <w:rsid w:val="00E2291E"/>
    <w:rsid w:val="00E22F2A"/>
    <w:rsid w:val="00E25860"/>
    <w:rsid w:val="00E26A9E"/>
    <w:rsid w:val="00E27CEB"/>
    <w:rsid w:val="00E31049"/>
    <w:rsid w:val="00E314A8"/>
    <w:rsid w:val="00E3487D"/>
    <w:rsid w:val="00E34DA3"/>
    <w:rsid w:val="00E4475C"/>
    <w:rsid w:val="00E455B4"/>
    <w:rsid w:val="00E45B55"/>
    <w:rsid w:val="00E47697"/>
    <w:rsid w:val="00E477D6"/>
    <w:rsid w:val="00E5383D"/>
    <w:rsid w:val="00E5439F"/>
    <w:rsid w:val="00E54408"/>
    <w:rsid w:val="00E565B7"/>
    <w:rsid w:val="00E6021A"/>
    <w:rsid w:val="00E62666"/>
    <w:rsid w:val="00E671B1"/>
    <w:rsid w:val="00E7184E"/>
    <w:rsid w:val="00E724FE"/>
    <w:rsid w:val="00E727B8"/>
    <w:rsid w:val="00E74CCE"/>
    <w:rsid w:val="00E82ED1"/>
    <w:rsid w:val="00E86ECA"/>
    <w:rsid w:val="00E87DCA"/>
    <w:rsid w:val="00E916D4"/>
    <w:rsid w:val="00E9362C"/>
    <w:rsid w:val="00EA32AF"/>
    <w:rsid w:val="00EA78CC"/>
    <w:rsid w:val="00EA7D31"/>
    <w:rsid w:val="00EB0958"/>
    <w:rsid w:val="00EB169C"/>
    <w:rsid w:val="00EB3885"/>
    <w:rsid w:val="00EB4ED9"/>
    <w:rsid w:val="00EB684B"/>
    <w:rsid w:val="00EC0990"/>
    <w:rsid w:val="00EC57AB"/>
    <w:rsid w:val="00EC5DB1"/>
    <w:rsid w:val="00EC68E4"/>
    <w:rsid w:val="00ED7BD4"/>
    <w:rsid w:val="00EE2EEA"/>
    <w:rsid w:val="00EE43FE"/>
    <w:rsid w:val="00EF37AD"/>
    <w:rsid w:val="00EF4B00"/>
    <w:rsid w:val="00F05668"/>
    <w:rsid w:val="00F10A30"/>
    <w:rsid w:val="00F14AAB"/>
    <w:rsid w:val="00F16380"/>
    <w:rsid w:val="00F20E93"/>
    <w:rsid w:val="00F22BAC"/>
    <w:rsid w:val="00F2532E"/>
    <w:rsid w:val="00F267F5"/>
    <w:rsid w:val="00F26813"/>
    <w:rsid w:val="00F27DDC"/>
    <w:rsid w:val="00F30383"/>
    <w:rsid w:val="00F304CE"/>
    <w:rsid w:val="00F307C4"/>
    <w:rsid w:val="00F33854"/>
    <w:rsid w:val="00F45918"/>
    <w:rsid w:val="00F45B9C"/>
    <w:rsid w:val="00F50DD7"/>
    <w:rsid w:val="00F5205D"/>
    <w:rsid w:val="00F54FA8"/>
    <w:rsid w:val="00F5559D"/>
    <w:rsid w:val="00F60A5C"/>
    <w:rsid w:val="00F61948"/>
    <w:rsid w:val="00F62D1C"/>
    <w:rsid w:val="00F71742"/>
    <w:rsid w:val="00F7416A"/>
    <w:rsid w:val="00F753A0"/>
    <w:rsid w:val="00F75728"/>
    <w:rsid w:val="00F77E28"/>
    <w:rsid w:val="00F80636"/>
    <w:rsid w:val="00F83ABB"/>
    <w:rsid w:val="00F84FF0"/>
    <w:rsid w:val="00F8507F"/>
    <w:rsid w:val="00F9323A"/>
    <w:rsid w:val="00F9571F"/>
    <w:rsid w:val="00FA04D3"/>
    <w:rsid w:val="00FA1933"/>
    <w:rsid w:val="00FA22AD"/>
    <w:rsid w:val="00FA3311"/>
    <w:rsid w:val="00FA4622"/>
    <w:rsid w:val="00FB34B2"/>
    <w:rsid w:val="00FC385F"/>
    <w:rsid w:val="00FC4681"/>
    <w:rsid w:val="00FD03A0"/>
    <w:rsid w:val="00FD084D"/>
    <w:rsid w:val="00FD0D62"/>
    <w:rsid w:val="00FD3125"/>
    <w:rsid w:val="00FD34C1"/>
    <w:rsid w:val="00FE271F"/>
    <w:rsid w:val="00FE66E9"/>
    <w:rsid w:val="018DD867"/>
    <w:rsid w:val="0383AD2A"/>
    <w:rsid w:val="0413B76F"/>
    <w:rsid w:val="044B3DF7"/>
    <w:rsid w:val="06D35C5E"/>
    <w:rsid w:val="07E72333"/>
    <w:rsid w:val="07F7B7BE"/>
    <w:rsid w:val="0859BB18"/>
    <w:rsid w:val="093A695D"/>
    <w:rsid w:val="0A521B59"/>
    <w:rsid w:val="0A91A0C9"/>
    <w:rsid w:val="0AA73D3E"/>
    <w:rsid w:val="0B0F4C8F"/>
    <w:rsid w:val="0B6D3B59"/>
    <w:rsid w:val="0C411A58"/>
    <w:rsid w:val="0CCCE53E"/>
    <w:rsid w:val="0CEB245E"/>
    <w:rsid w:val="0D5A519A"/>
    <w:rsid w:val="0DF45036"/>
    <w:rsid w:val="0E608350"/>
    <w:rsid w:val="0EEE3114"/>
    <w:rsid w:val="0FE0E4C5"/>
    <w:rsid w:val="1063B1F2"/>
    <w:rsid w:val="10C00931"/>
    <w:rsid w:val="110075DD"/>
    <w:rsid w:val="11275D19"/>
    <w:rsid w:val="117BD0B7"/>
    <w:rsid w:val="11AC3F96"/>
    <w:rsid w:val="11E85CFC"/>
    <w:rsid w:val="12127DC9"/>
    <w:rsid w:val="12547B42"/>
    <w:rsid w:val="126FC1FC"/>
    <w:rsid w:val="12D12F4F"/>
    <w:rsid w:val="13DC96B2"/>
    <w:rsid w:val="14184713"/>
    <w:rsid w:val="1501A97C"/>
    <w:rsid w:val="1645CEF8"/>
    <w:rsid w:val="164CF275"/>
    <w:rsid w:val="1683C959"/>
    <w:rsid w:val="16FE7A35"/>
    <w:rsid w:val="174F0D14"/>
    <w:rsid w:val="1763060F"/>
    <w:rsid w:val="1779FF13"/>
    <w:rsid w:val="19DFC226"/>
    <w:rsid w:val="1AF7FB7A"/>
    <w:rsid w:val="1C6FB2C7"/>
    <w:rsid w:val="1E43A7DE"/>
    <w:rsid w:val="1EB00DD6"/>
    <w:rsid w:val="1FAB4B9B"/>
    <w:rsid w:val="2085F7D3"/>
    <w:rsid w:val="20C2BE99"/>
    <w:rsid w:val="218F6D39"/>
    <w:rsid w:val="21FF8D2E"/>
    <w:rsid w:val="22BED1D5"/>
    <w:rsid w:val="234AB107"/>
    <w:rsid w:val="24FFBB74"/>
    <w:rsid w:val="2505058C"/>
    <w:rsid w:val="257B67A3"/>
    <w:rsid w:val="25EC8879"/>
    <w:rsid w:val="2602D532"/>
    <w:rsid w:val="2754C9B7"/>
    <w:rsid w:val="27B0D85D"/>
    <w:rsid w:val="287D8FFF"/>
    <w:rsid w:val="294D3D49"/>
    <w:rsid w:val="2A9A8C10"/>
    <w:rsid w:val="2AB3357B"/>
    <w:rsid w:val="2B6F2157"/>
    <w:rsid w:val="2BFE0F25"/>
    <w:rsid w:val="2C813411"/>
    <w:rsid w:val="2E479739"/>
    <w:rsid w:val="2F472D26"/>
    <w:rsid w:val="2FC732DF"/>
    <w:rsid w:val="2FD05C6C"/>
    <w:rsid w:val="3073EC93"/>
    <w:rsid w:val="311C25EC"/>
    <w:rsid w:val="31ECBFD6"/>
    <w:rsid w:val="32AF661A"/>
    <w:rsid w:val="330D93FB"/>
    <w:rsid w:val="3321E7BB"/>
    <w:rsid w:val="332F41C7"/>
    <w:rsid w:val="3472FC59"/>
    <w:rsid w:val="360E407B"/>
    <w:rsid w:val="36134752"/>
    <w:rsid w:val="37F3309F"/>
    <w:rsid w:val="394B0302"/>
    <w:rsid w:val="3A2332B6"/>
    <w:rsid w:val="3A28296A"/>
    <w:rsid w:val="3A6A2952"/>
    <w:rsid w:val="3B766C13"/>
    <w:rsid w:val="3B9A0EB2"/>
    <w:rsid w:val="3C750219"/>
    <w:rsid w:val="3C992263"/>
    <w:rsid w:val="3D09FC9E"/>
    <w:rsid w:val="3D28931C"/>
    <w:rsid w:val="3F46F2DE"/>
    <w:rsid w:val="3F9ADB16"/>
    <w:rsid w:val="41250863"/>
    <w:rsid w:val="4149C6A0"/>
    <w:rsid w:val="416F06FE"/>
    <w:rsid w:val="418624B0"/>
    <w:rsid w:val="418CF405"/>
    <w:rsid w:val="42335480"/>
    <w:rsid w:val="426CCF3F"/>
    <w:rsid w:val="42E94A51"/>
    <w:rsid w:val="43531CD8"/>
    <w:rsid w:val="435F18AE"/>
    <w:rsid w:val="436E62C1"/>
    <w:rsid w:val="4370D2B7"/>
    <w:rsid w:val="447CC234"/>
    <w:rsid w:val="45F8CA0C"/>
    <w:rsid w:val="460366F1"/>
    <w:rsid w:val="4685D018"/>
    <w:rsid w:val="46961924"/>
    <w:rsid w:val="47451289"/>
    <w:rsid w:val="4789D64E"/>
    <w:rsid w:val="4794F092"/>
    <w:rsid w:val="47981843"/>
    <w:rsid w:val="47E63095"/>
    <w:rsid w:val="48B944A8"/>
    <w:rsid w:val="490A5ACE"/>
    <w:rsid w:val="49327517"/>
    <w:rsid w:val="49AF4A24"/>
    <w:rsid w:val="49BCD8BD"/>
    <w:rsid w:val="49EF9866"/>
    <w:rsid w:val="4A4548F8"/>
    <w:rsid w:val="4B67EF51"/>
    <w:rsid w:val="4B9DB66F"/>
    <w:rsid w:val="4CA0351F"/>
    <w:rsid w:val="4D25572F"/>
    <w:rsid w:val="4D311425"/>
    <w:rsid w:val="4D33989C"/>
    <w:rsid w:val="4D9713C1"/>
    <w:rsid w:val="4E958542"/>
    <w:rsid w:val="4E96D0C6"/>
    <w:rsid w:val="4EB84B1E"/>
    <w:rsid w:val="4F9DAD4D"/>
    <w:rsid w:val="4FD1EE50"/>
    <w:rsid w:val="4FEAC522"/>
    <w:rsid w:val="50276939"/>
    <w:rsid w:val="50FDF48E"/>
    <w:rsid w:val="5120A96A"/>
    <w:rsid w:val="5137D437"/>
    <w:rsid w:val="51663E6E"/>
    <w:rsid w:val="5190A17A"/>
    <w:rsid w:val="51E0BC4B"/>
    <w:rsid w:val="51F4ABE4"/>
    <w:rsid w:val="52A1C251"/>
    <w:rsid w:val="546752CB"/>
    <w:rsid w:val="546C834D"/>
    <w:rsid w:val="55CF44C8"/>
    <w:rsid w:val="57448D2B"/>
    <w:rsid w:val="57A7EB34"/>
    <w:rsid w:val="57D3E22D"/>
    <w:rsid w:val="57EE0E59"/>
    <w:rsid w:val="57FFDF80"/>
    <w:rsid w:val="582CF1A3"/>
    <w:rsid w:val="587CFDA4"/>
    <w:rsid w:val="59489766"/>
    <w:rsid w:val="59990B86"/>
    <w:rsid w:val="5BB08B42"/>
    <w:rsid w:val="5C29D30F"/>
    <w:rsid w:val="5C4E4719"/>
    <w:rsid w:val="5D316662"/>
    <w:rsid w:val="5E023535"/>
    <w:rsid w:val="5E1993AF"/>
    <w:rsid w:val="5E9D6297"/>
    <w:rsid w:val="5EAD1898"/>
    <w:rsid w:val="5F173759"/>
    <w:rsid w:val="5FFA51C3"/>
    <w:rsid w:val="6046ECC3"/>
    <w:rsid w:val="61ED2781"/>
    <w:rsid w:val="61FDF887"/>
    <w:rsid w:val="623C9BC3"/>
    <w:rsid w:val="627EF926"/>
    <w:rsid w:val="64B85692"/>
    <w:rsid w:val="64D83777"/>
    <w:rsid w:val="662CDE1C"/>
    <w:rsid w:val="6658CF9E"/>
    <w:rsid w:val="666EB7E4"/>
    <w:rsid w:val="66782CDF"/>
    <w:rsid w:val="668F105A"/>
    <w:rsid w:val="677D3D65"/>
    <w:rsid w:val="6869AD22"/>
    <w:rsid w:val="6945292F"/>
    <w:rsid w:val="69E9E8F1"/>
    <w:rsid w:val="6A94B49A"/>
    <w:rsid w:val="6B1EF887"/>
    <w:rsid w:val="6B787252"/>
    <w:rsid w:val="6BEC9796"/>
    <w:rsid w:val="6C42EBAD"/>
    <w:rsid w:val="6C78C15C"/>
    <w:rsid w:val="6CA03AC2"/>
    <w:rsid w:val="6D1E0FB0"/>
    <w:rsid w:val="6DD6ED00"/>
    <w:rsid w:val="6E782391"/>
    <w:rsid w:val="6ECED3D2"/>
    <w:rsid w:val="6F090909"/>
    <w:rsid w:val="6F212BF5"/>
    <w:rsid w:val="6FB05FA8"/>
    <w:rsid w:val="6FD54692"/>
    <w:rsid w:val="70CD6639"/>
    <w:rsid w:val="716A7ED5"/>
    <w:rsid w:val="72149981"/>
    <w:rsid w:val="72A96219"/>
    <w:rsid w:val="72BDDF93"/>
    <w:rsid w:val="72EAC018"/>
    <w:rsid w:val="730D76AA"/>
    <w:rsid w:val="7351FBB0"/>
    <w:rsid w:val="73B4BC1F"/>
    <w:rsid w:val="73CDE4E7"/>
    <w:rsid w:val="74645C54"/>
    <w:rsid w:val="75255F2E"/>
    <w:rsid w:val="77460D5C"/>
    <w:rsid w:val="77A86FA2"/>
    <w:rsid w:val="78F11585"/>
    <w:rsid w:val="7AFB3E38"/>
    <w:rsid w:val="7B8300A9"/>
    <w:rsid w:val="7C72A659"/>
    <w:rsid w:val="7CDBFCBA"/>
    <w:rsid w:val="7E9794D3"/>
    <w:rsid w:val="7EDE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B605F"/>
  <w15:chartTrackingRefBased/>
  <w15:docId w15:val="{E0D5CBD0-F644-43CE-A9E8-C6BE8753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8F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3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2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C013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ListParagraph">
    <w:name w:val="List Paragraph"/>
    <w:basedOn w:val="Normal"/>
    <w:uiPriority w:val="34"/>
    <w:qFormat/>
    <w:rsid w:val="00C0138F"/>
    <w:pPr>
      <w:ind w:left="720"/>
      <w:contextualSpacing/>
    </w:pPr>
  </w:style>
  <w:style w:type="paragraph" w:styleId="Revision">
    <w:name w:val="Revision"/>
    <w:hidden/>
    <w:uiPriority w:val="99"/>
    <w:semiHidden/>
    <w:rsid w:val="00F45B9C"/>
    <w:pPr>
      <w:spacing w:after="0" w:line="240" w:lineRule="auto"/>
    </w:pPr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5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A581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5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327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327"/>
    <w:rPr>
      <w:b/>
      <w:bCs/>
      <w:sz w:val="20"/>
      <w:szCs w:val="20"/>
      <w:lang w:val="fr-FR"/>
    </w:rPr>
  </w:style>
  <w:style w:type="table" w:styleId="TableGrid">
    <w:name w:val="Table Grid"/>
    <w:basedOn w:val="TableNormal"/>
    <w:uiPriority w:val="39"/>
    <w:rsid w:val="00C6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B02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paragraph" w:customStyle="1" w:styleId="isselectedend">
    <w:name w:val="isselectedend"/>
    <w:basedOn w:val="Normal"/>
    <w:rsid w:val="0027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6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3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E6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3A"/>
    <w:rPr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0D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22CD-739B-4C77-9F78-2A50E4B7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1738</Words>
  <Characters>11178</Characters>
  <Application>Microsoft Office Word</Application>
  <DocSecurity>0</DocSecurity>
  <Lines>219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Sailesh Ramyead</dc:creator>
  <cp:keywords/>
  <dc:description/>
  <cp:lastModifiedBy>Noor Eydatoulah</cp:lastModifiedBy>
  <cp:revision>2</cp:revision>
  <dcterms:created xsi:type="dcterms:W3CDTF">2026-05-26T11:54:00Z</dcterms:created>
  <dcterms:modified xsi:type="dcterms:W3CDTF">2026-05-26T11:54:00Z</dcterms:modified>
</cp:coreProperties>
</file>